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EF69B" w14:textId="7B3C8C49" w:rsidR="00C92359" w:rsidRPr="00C92359" w:rsidRDefault="006A48D3" w:rsidP="00C92359">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3GPP TSG-RAN WG3</w:t>
      </w:r>
      <w:r w:rsidR="00C92359" w:rsidRPr="00C92359">
        <w:rPr>
          <w:rFonts w:eastAsia="MS Mincho"/>
          <w:b/>
          <w:sz w:val="24"/>
          <w:szCs w:val="24"/>
          <w:lang w:val="en-GB" w:eastAsia="x-none"/>
        </w:rPr>
        <w:t xml:space="preserve"> Meeting #1</w:t>
      </w:r>
      <w:r w:rsidR="003A5288">
        <w:rPr>
          <w:rFonts w:eastAsia="MS Mincho"/>
          <w:b/>
          <w:sz w:val="24"/>
          <w:szCs w:val="24"/>
          <w:lang w:val="en-GB" w:eastAsia="x-none"/>
        </w:rPr>
        <w:t>1</w:t>
      </w:r>
      <w:r w:rsidR="00F01ECB">
        <w:rPr>
          <w:rFonts w:eastAsia="MS Mincho"/>
          <w:b/>
          <w:sz w:val="24"/>
          <w:szCs w:val="24"/>
          <w:lang w:val="en-GB" w:eastAsia="x-none"/>
        </w:rPr>
        <w:t>1</w:t>
      </w:r>
      <w:r w:rsidR="00CC371F">
        <w:rPr>
          <w:rFonts w:eastAsia="MS Mincho"/>
          <w:b/>
          <w:sz w:val="24"/>
          <w:szCs w:val="24"/>
          <w:lang w:val="en-GB" w:eastAsia="x-none"/>
        </w:rPr>
        <w:t>-e</w:t>
      </w:r>
      <w:r w:rsidR="00C92359" w:rsidRPr="00C92359">
        <w:rPr>
          <w:rFonts w:eastAsia="MS Mincho"/>
          <w:b/>
          <w:sz w:val="24"/>
          <w:szCs w:val="24"/>
          <w:lang w:val="en-GB" w:eastAsia="x-none"/>
        </w:rPr>
        <w:tab/>
      </w:r>
      <w:r w:rsidR="00315566" w:rsidRPr="00315566">
        <w:rPr>
          <w:rFonts w:eastAsia="MS Mincho"/>
          <w:b/>
          <w:sz w:val="24"/>
          <w:szCs w:val="24"/>
          <w:lang w:val="en-GB" w:eastAsia="x-none"/>
        </w:rPr>
        <w:t>R3-</w:t>
      </w:r>
      <w:r w:rsidR="007C7CF2" w:rsidRPr="007C7CF2">
        <w:t xml:space="preserve"> </w:t>
      </w:r>
      <w:r w:rsidR="007C7CF2" w:rsidRPr="007C7CF2">
        <w:rPr>
          <w:rFonts w:eastAsia="MS Mincho"/>
          <w:b/>
          <w:sz w:val="24"/>
          <w:szCs w:val="24"/>
          <w:lang w:val="en-GB" w:eastAsia="x-none"/>
        </w:rPr>
        <w:t>2</w:t>
      </w:r>
      <w:r w:rsidR="00842F2C" w:rsidRPr="00842F2C">
        <w:rPr>
          <w:rFonts w:eastAsia="MS Mincho"/>
          <w:b/>
          <w:sz w:val="24"/>
          <w:szCs w:val="24"/>
          <w:lang w:val="en-GB" w:eastAsia="x-none"/>
        </w:rPr>
        <w:t>10657</w:t>
      </w:r>
    </w:p>
    <w:p w14:paraId="3A5784F5" w14:textId="388BD1DA" w:rsidR="00C92359" w:rsidRPr="00C92359" w:rsidRDefault="00FC56D8" w:rsidP="00C92359">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Online</w:t>
      </w:r>
      <w:r w:rsidR="00CC371F">
        <w:rPr>
          <w:rFonts w:eastAsia="MS Mincho"/>
          <w:b/>
          <w:sz w:val="24"/>
          <w:szCs w:val="24"/>
          <w:lang w:val="en-GB" w:eastAsia="x-none"/>
        </w:rPr>
        <w:t xml:space="preserve">, </w:t>
      </w:r>
      <w:r w:rsidR="00F01ECB">
        <w:rPr>
          <w:rFonts w:eastAsia="MS Mincho"/>
          <w:b/>
          <w:sz w:val="24"/>
          <w:szCs w:val="24"/>
          <w:lang w:val="en-GB" w:eastAsia="x-none"/>
        </w:rPr>
        <w:t xml:space="preserve">25 January </w:t>
      </w:r>
      <w:r w:rsidR="0008364D">
        <w:rPr>
          <w:rFonts w:eastAsia="MS Mincho"/>
          <w:b/>
          <w:sz w:val="24"/>
          <w:szCs w:val="24"/>
          <w:lang w:val="en-GB" w:eastAsia="x-none"/>
        </w:rPr>
        <w:t>–</w:t>
      </w:r>
      <w:r w:rsidR="00F01ECB">
        <w:rPr>
          <w:rFonts w:eastAsia="MS Mincho"/>
          <w:b/>
          <w:sz w:val="24"/>
          <w:szCs w:val="24"/>
          <w:lang w:val="en-GB" w:eastAsia="x-none"/>
        </w:rPr>
        <w:t xml:space="preserve"> 4</w:t>
      </w:r>
      <w:r w:rsidR="00CC371F">
        <w:rPr>
          <w:rFonts w:eastAsia="MS Mincho"/>
          <w:b/>
          <w:sz w:val="24"/>
          <w:szCs w:val="24"/>
          <w:lang w:val="en-GB" w:eastAsia="x-none"/>
        </w:rPr>
        <w:t xml:space="preserve"> </w:t>
      </w:r>
      <w:r w:rsidR="00F01ECB">
        <w:rPr>
          <w:rFonts w:eastAsia="MS Mincho"/>
          <w:b/>
          <w:sz w:val="24"/>
          <w:szCs w:val="24"/>
          <w:lang w:val="en-GB" w:eastAsia="x-none"/>
        </w:rPr>
        <w:t>February</w:t>
      </w:r>
      <w:r w:rsidR="00CC371F">
        <w:rPr>
          <w:rFonts w:eastAsia="MS Mincho"/>
          <w:b/>
          <w:sz w:val="24"/>
          <w:szCs w:val="24"/>
          <w:lang w:val="en-GB" w:eastAsia="x-none"/>
        </w:rPr>
        <w:t xml:space="preserve"> 202</w:t>
      </w:r>
      <w:r w:rsidR="00F01ECB">
        <w:rPr>
          <w:rFonts w:eastAsia="MS Mincho"/>
          <w:b/>
          <w:sz w:val="24"/>
          <w:szCs w:val="24"/>
          <w:lang w:val="en-GB" w:eastAsia="x-none"/>
        </w:rPr>
        <w:t>1</w:t>
      </w:r>
    </w:p>
    <w:p w14:paraId="4A946D04" w14:textId="77777777" w:rsidR="005F705D" w:rsidRPr="005D2C51" w:rsidRDefault="005F705D" w:rsidP="005F705D">
      <w:pPr>
        <w:tabs>
          <w:tab w:val="left" w:pos="567"/>
        </w:tabs>
        <w:rPr>
          <w:rStyle w:val="apple-style-span"/>
          <w:rFonts w:cs="Arial"/>
          <w:sz w:val="16"/>
          <w:szCs w:val="16"/>
        </w:rPr>
      </w:pPr>
    </w:p>
    <w:p w14:paraId="3B270D44" w14:textId="4994DE83"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A48D3">
        <w:rPr>
          <w:b/>
          <w:sz w:val="24"/>
          <w:szCs w:val="24"/>
        </w:rPr>
        <w:t>13.</w:t>
      </w:r>
      <w:r w:rsidR="003A5288">
        <w:rPr>
          <w:b/>
          <w:sz w:val="24"/>
          <w:szCs w:val="24"/>
        </w:rPr>
        <w:t>2</w:t>
      </w:r>
      <w:r w:rsidR="00974F3E">
        <w:rPr>
          <w:b/>
          <w:sz w:val="24"/>
          <w:szCs w:val="24"/>
        </w:rPr>
        <w:t>.</w:t>
      </w:r>
      <w:r w:rsidR="00F01ECB">
        <w:rPr>
          <w:b/>
          <w:sz w:val="24"/>
          <w:szCs w:val="24"/>
        </w:rPr>
        <w:t>2</w:t>
      </w:r>
    </w:p>
    <w:p w14:paraId="6434C93C"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818F357" w14:textId="0FD02EF4" w:rsidR="00745452" w:rsidRDefault="0060603E" w:rsidP="006F09F0">
      <w:pPr>
        <w:ind w:left="1800" w:hanging="1800"/>
        <w:jc w:val="left"/>
        <w:rPr>
          <w:b/>
          <w:sz w:val="24"/>
          <w:szCs w:val="24"/>
        </w:rPr>
      </w:pPr>
      <w:r w:rsidRPr="00212204">
        <w:rPr>
          <w:b/>
          <w:sz w:val="24"/>
          <w:szCs w:val="24"/>
        </w:rPr>
        <w:t>Title:</w:t>
      </w:r>
      <w:r w:rsidR="002D479B" w:rsidRPr="005F705D">
        <w:rPr>
          <w:b/>
          <w:sz w:val="24"/>
          <w:szCs w:val="24"/>
        </w:rPr>
        <w:tab/>
      </w:r>
      <w:r w:rsidR="004A5828">
        <w:rPr>
          <w:b/>
          <w:sz w:val="24"/>
          <w:szCs w:val="24"/>
        </w:rPr>
        <w:t>Service interruption reduction for i</w:t>
      </w:r>
      <w:r w:rsidR="003A3AE3">
        <w:rPr>
          <w:b/>
          <w:sz w:val="24"/>
          <w:szCs w:val="24"/>
        </w:rPr>
        <w:t>ntra-donor</w:t>
      </w:r>
      <w:r w:rsidR="003A5288" w:rsidRPr="003A5288">
        <w:rPr>
          <w:b/>
          <w:sz w:val="24"/>
          <w:szCs w:val="24"/>
        </w:rPr>
        <w:t xml:space="preserve"> </w:t>
      </w:r>
      <w:r w:rsidR="003A3AE3">
        <w:rPr>
          <w:b/>
          <w:sz w:val="24"/>
          <w:szCs w:val="24"/>
        </w:rPr>
        <w:t>m</w:t>
      </w:r>
      <w:r w:rsidR="003A5288" w:rsidRPr="003A5288">
        <w:rPr>
          <w:b/>
          <w:sz w:val="24"/>
          <w:szCs w:val="24"/>
        </w:rPr>
        <w:t>igration</w:t>
      </w:r>
      <w:r w:rsidR="003A3AE3">
        <w:rPr>
          <w:b/>
          <w:sz w:val="24"/>
          <w:szCs w:val="24"/>
        </w:rPr>
        <w:t xml:space="preserve"> </w:t>
      </w:r>
      <w:r w:rsidR="004A5828">
        <w:rPr>
          <w:b/>
          <w:sz w:val="24"/>
          <w:szCs w:val="24"/>
        </w:rPr>
        <w:t>of IAB-node with</w:t>
      </w:r>
      <w:r w:rsidR="003A3AE3">
        <w:rPr>
          <w:b/>
          <w:sz w:val="24"/>
          <w:szCs w:val="24"/>
        </w:rPr>
        <w:t xml:space="preserve"> descendant nodes</w:t>
      </w:r>
    </w:p>
    <w:p w14:paraId="503C23B3" w14:textId="33F0244E"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0071107A">
        <w:rPr>
          <w:b/>
          <w:sz w:val="24"/>
          <w:szCs w:val="24"/>
        </w:rPr>
        <w:t>Decision</w:t>
      </w:r>
    </w:p>
    <w:p w14:paraId="2E3274BA"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60B4D038" w14:textId="115B17D8" w:rsidR="003A2CF2" w:rsidRDefault="003A3AE3" w:rsidP="00F53ECE">
      <w:pPr>
        <w:spacing w:after="240"/>
        <w:rPr>
          <w:rFonts w:asciiTheme="minorHAnsi" w:hAnsiTheme="minorHAnsi"/>
          <w:lang w:val="en-GB"/>
        </w:rPr>
      </w:pPr>
      <w:r>
        <w:rPr>
          <w:rFonts w:asciiTheme="minorHAnsi" w:hAnsiTheme="minorHAnsi"/>
          <w:lang w:val="en-GB"/>
        </w:rPr>
        <w:t xml:space="preserve">During the RAN3#110-e meeting, </w:t>
      </w:r>
      <w:r w:rsidR="00A360BE">
        <w:rPr>
          <w:rFonts w:asciiTheme="minorHAnsi" w:hAnsiTheme="minorHAnsi"/>
          <w:lang w:val="en-GB"/>
        </w:rPr>
        <w:t>the following agreements were</w:t>
      </w:r>
      <w:r w:rsidR="002F1CDD">
        <w:rPr>
          <w:rFonts w:asciiTheme="minorHAnsi" w:hAnsiTheme="minorHAnsi"/>
          <w:lang w:val="en-GB"/>
        </w:rPr>
        <w:t xml:space="preserve"> made regarding service interruption reduction for the </w:t>
      </w:r>
      <w:r w:rsidR="00A360BE">
        <w:rPr>
          <w:rFonts w:asciiTheme="minorHAnsi" w:hAnsiTheme="minorHAnsi"/>
          <w:lang w:val="en-GB"/>
        </w:rPr>
        <w:t xml:space="preserve">intra-donor </w:t>
      </w:r>
      <w:r w:rsidR="002F1CDD">
        <w:rPr>
          <w:rFonts w:asciiTheme="minorHAnsi" w:hAnsiTheme="minorHAnsi"/>
          <w:lang w:val="en-GB"/>
        </w:rPr>
        <w:t>IAB-node migration c</w:t>
      </w:r>
      <w:r w:rsidR="00A360BE">
        <w:rPr>
          <w:rFonts w:asciiTheme="minorHAnsi" w:hAnsiTheme="minorHAnsi"/>
          <w:lang w:val="en-GB"/>
        </w:rPr>
        <w:t>ase</w:t>
      </w:r>
      <w:r w:rsidR="002F1CDD">
        <w:rPr>
          <w:rFonts w:asciiTheme="minorHAnsi" w:hAnsiTheme="minorHAnsi"/>
          <w:lang w:val="en-GB"/>
        </w:rPr>
        <w:t>:</w:t>
      </w:r>
    </w:p>
    <w:tbl>
      <w:tblPr>
        <w:tblStyle w:val="TableGrid"/>
        <w:tblW w:w="0" w:type="auto"/>
        <w:tblLook w:val="04A0" w:firstRow="1" w:lastRow="0" w:firstColumn="1" w:lastColumn="0" w:noHBand="0" w:noVBand="1"/>
      </w:tblPr>
      <w:tblGrid>
        <w:gridCol w:w="10070"/>
      </w:tblGrid>
      <w:tr w:rsidR="00A360BE" w:rsidRPr="00F27804" w14:paraId="6347E082" w14:textId="77777777" w:rsidTr="00A360BE">
        <w:tc>
          <w:tcPr>
            <w:tcW w:w="10070" w:type="dxa"/>
          </w:tcPr>
          <w:p w14:paraId="09555373" w14:textId="77777777" w:rsidR="00A360BE" w:rsidRPr="00D67D60" w:rsidRDefault="00A360BE" w:rsidP="00A360BE">
            <w:pPr>
              <w:widowControl w:val="0"/>
              <w:spacing w:after="0"/>
              <w:ind w:left="144" w:hanging="144"/>
              <w:rPr>
                <w:rFonts w:ascii="Calibri" w:hAnsi="Calibri" w:cs="Calibri"/>
                <w:b/>
                <w:bCs/>
                <w:color w:val="00B050"/>
                <w:sz w:val="18"/>
                <w:szCs w:val="24"/>
              </w:rPr>
            </w:pPr>
            <w:r w:rsidRPr="00D67D60">
              <w:rPr>
                <w:rFonts w:ascii="Calibri" w:hAnsi="Calibri" w:cs="Calibri"/>
                <w:b/>
                <w:bCs/>
                <w:color w:val="00B050"/>
                <w:sz w:val="18"/>
                <w:szCs w:val="24"/>
              </w:rPr>
              <w:t>The RRCReconfiguration to the descendant IAB can be transferred via the source path, i.e. before the migrating IAB detach from source parent cell.</w:t>
            </w:r>
          </w:p>
          <w:p w14:paraId="296F24B7" w14:textId="77777777" w:rsidR="00A360BE" w:rsidRPr="00D67D60" w:rsidRDefault="00A360BE" w:rsidP="00A360BE">
            <w:pPr>
              <w:widowControl w:val="0"/>
              <w:spacing w:after="0"/>
              <w:ind w:left="144" w:hanging="144"/>
              <w:rPr>
                <w:rFonts w:ascii="Calibri" w:hAnsi="Calibri" w:cs="Calibri"/>
                <w:b/>
                <w:bCs/>
                <w:color w:val="00B050"/>
                <w:sz w:val="18"/>
                <w:szCs w:val="24"/>
              </w:rPr>
            </w:pPr>
            <w:r w:rsidRPr="00D67D60">
              <w:rPr>
                <w:rFonts w:ascii="Calibri" w:hAnsi="Calibri" w:cs="Calibri"/>
                <w:b/>
                <w:bCs/>
                <w:color w:val="00B050"/>
                <w:sz w:val="18"/>
                <w:szCs w:val="24"/>
              </w:rPr>
              <w:t xml:space="preserve">Study the packet loss mitigation in intra-donor migration, e.g. further clarify the scenario for packet loss and possible solutions. </w:t>
            </w:r>
          </w:p>
          <w:p w14:paraId="696859BF" w14:textId="3A0F734D" w:rsidR="00A360BE" w:rsidRPr="00563B35" w:rsidRDefault="00A360BE" w:rsidP="00563B35">
            <w:pPr>
              <w:widowControl w:val="0"/>
              <w:spacing w:after="0"/>
              <w:ind w:left="144" w:hanging="144"/>
              <w:rPr>
                <w:rFonts w:ascii="Calibri" w:hAnsi="Calibri" w:cs="Calibri"/>
                <w:b/>
                <w:bCs/>
                <w:color w:val="00B050"/>
                <w:sz w:val="18"/>
                <w:szCs w:val="24"/>
              </w:rPr>
            </w:pPr>
            <w:r w:rsidRPr="00D67D60">
              <w:rPr>
                <w:rFonts w:ascii="Calibri" w:hAnsi="Calibri" w:cs="Calibri"/>
                <w:b/>
                <w:bCs/>
                <w:color w:val="00B050"/>
                <w:sz w:val="18"/>
                <w:szCs w:val="24"/>
              </w:rPr>
              <w:t xml:space="preserve">Discuss the avoidance of unnecessary transmissions in intra-donor migration (including the scenario of RLF recovery), with focus on RAN3 impact. </w:t>
            </w:r>
          </w:p>
        </w:tc>
      </w:tr>
    </w:tbl>
    <w:p w14:paraId="505A0002" w14:textId="6BF44126" w:rsidR="00AD7A71" w:rsidRDefault="002F1CDD" w:rsidP="007E0AED">
      <w:pPr>
        <w:spacing w:before="240" w:after="360"/>
        <w:rPr>
          <w:rFonts w:ascii="Calibri" w:eastAsia="Malgun Gothic" w:hAnsi="Calibri" w:cs="Batang"/>
          <w:lang w:val="en-GB" w:eastAsia="ko-KR"/>
        </w:rPr>
      </w:pPr>
      <w:r>
        <w:rPr>
          <w:rFonts w:ascii="Calibri" w:eastAsia="Malgun Gothic" w:hAnsi="Calibri" w:cs="Batang"/>
          <w:lang w:val="en-GB" w:eastAsia="ko-KR"/>
        </w:rPr>
        <w:t xml:space="preserve">However, there </w:t>
      </w:r>
      <w:r w:rsidR="00B65289">
        <w:rPr>
          <w:rFonts w:ascii="Calibri" w:eastAsia="Malgun Gothic" w:hAnsi="Calibri" w:cs="Batang"/>
          <w:lang w:val="en-GB" w:eastAsia="ko-KR"/>
        </w:rPr>
        <w:t>a</w:t>
      </w:r>
      <w:r>
        <w:rPr>
          <w:rFonts w:ascii="Calibri" w:eastAsia="Malgun Gothic" w:hAnsi="Calibri" w:cs="Batang"/>
          <w:lang w:val="en-GB" w:eastAsia="ko-KR"/>
        </w:rPr>
        <w:t>re still some open question</w:t>
      </w:r>
      <w:r w:rsidR="00E14C1F">
        <w:rPr>
          <w:rFonts w:ascii="Calibri" w:eastAsia="Malgun Gothic" w:hAnsi="Calibri" w:cs="Batang"/>
          <w:lang w:val="en-GB" w:eastAsia="ko-KR"/>
        </w:rPr>
        <w:t>s</w:t>
      </w:r>
      <w:r>
        <w:rPr>
          <w:rFonts w:ascii="Calibri" w:eastAsia="Malgun Gothic" w:hAnsi="Calibri" w:cs="Batang"/>
          <w:lang w:val="en-GB" w:eastAsia="ko-KR"/>
        </w:rPr>
        <w:t xml:space="preserve"> regarding the intra-donor IAB-node migration case, such </w:t>
      </w:r>
      <w:r w:rsidR="00563B35">
        <w:rPr>
          <w:rFonts w:ascii="Calibri" w:eastAsia="Malgun Gothic" w:hAnsi="Calibri" w:cs="Batang"/>
          <w:lang w:val="en-GB" w:eastAsia="ko-KR"/>
        </w:rPr>
        <w:t xml:space="preserve">as </w:t>
      </w:r>
      <w:r>
        <w:rPr>
          <w:rFonts w:ascii="Calibri" w:eastAsia="Malgun Gothic" w:hAnsi="Calibri" w:cs="Batang"/>
          <w:lang w:val="en-GB" w:eastAsia="ko-KR"/>
        </w:rPr>
        <w:t xml:space="preserve">indication to the descendant nodes of the migrating IAB-node, buffering of RRCReconfiguration in </w:t>
      </w:r>
      <w:r w:rsidR="009D7A0D">
        <w:rPr>
          <w:rFonts w:ascii="Calibri" w:eastAsia="Malgun Gothic" w:hAnsi="Calibri" w:cs="Batang"/>
          <w:lang w:val="en-GB" w:eastAsia="ko-KR"/>
        </w:rPr>
        <w:t>IAB-DU</w:t>
      </w:r>
      <w:r>
        <w:rPr>
          <w:rFonts w:ascii="Calibri" w:eastAsia="Malgun Gothic" w:hAnsi="Calibri" w:cs="Batang"/>
          <w:lang w:val="en-GB" w:eastAsia="ko-KR"/>
        </w:rPr>
        <w:t>, etc. This contribution tries to address some of the</w:t>
      </w:r>
      <w:r w:rsidR="00563B35">
        <w:rPr>
          <w:rFonts w:ascii="Calibri" w:eastAsia="Malgun Gothic" w:hAnsi="Calibri" w:cs="Batang"/>
          <w:lang w:val="en-GB" w:eastAsia="ko-KR"/>
        </w:rPr>
        <w:t>se</w:t>
      </w:r>
      <w:r>
        <w:rPr>
          <w:rFonts w:ascii="Calibri" w:eastAsia="Malgun Gothic" w:hAnsi="Calibri" w:cs="Batang"/>
          <w:lang w:val="en-GB" w:eastAsia="ko-KR"/>
        </w:rPr>
        <w:t xml:space="preserve"> issues. </w:t>
      </w:r>
    </w:p>
    <w:p w14:paraId="088687BC" w14:textId="64446DD1" w:rsidR="004A7002" w:rsidRDefault="00AD7A71"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IAB-node migration</w:t>
      </w:r>
      <w:r w:rsidR="00385522">
        <w:t xml:space="preserve"> indication to</w:t>
      </w:r>
      <w:r w:rsidR="00E14C1F">
        <w:t xml:space="preserve"> descendant nodes</w:t>
      </w:r>
    </w:p>
    <w:p w14:paraId="42C092D7" w14:textId="76B54A06" w:rsidR="00D813F8" w:rsidRDefault="00BB2BB0" w:rsidP="00D813F8">
      <w:pPr>
        <w:spacing w:before="240" w:after="240"/>
        <w:rPr>
          <w:rFonts w:ascii="Calibri" w:eastAsia="Malgun Gothic" w:hAnsi="Calibri" w:cs="Batang"/>
          <w:lang w:val="en-GB" w:eastAsia="ko-KR"/>
        </w:rPr>
      </w:pPr>
      <w:r>
        <w:rPr>
          <w:rFonts w:ascii="Calibri" w:eastAsia="Malgun Gothic" w:hAnsi="Calibri" w:cs="Batang"/>
          <w:lang w:val="en-GB" w:eastAsia="ko-KR"/>
        </w:rPr>
        <w:t>A</w:t>
      </w:r>
      <w:r w:rsidR="00E600BA">
        <w:rPr>
          <w:rFonts w:ascii="Calibri" w:eastAsia="Malgun Gothic" w:hAnsi="Calibri" w:cs="Batang"/>
          <w:lang w:val="en-GB" w:eastAsia="ko-KR"/>
        </w:rPr>
        <w:t>t</w:t>
      </w:r>
      <w:r w:rsidR="00C11DC0">
        <w:rPr>
          <w:rFonts w:ascii="Calibri" w:eastAsia="Malgun Gothic" w:hAnsi="Calibri" w:cs="Batang"/>
          <w:lang w:val="en-GB" w:eastAsia="ko-KR"/>
        </w:rPr>
        <w:t xml:space="preserve"> the RAN3#1</w:t>
      </w:r>
      <w:r w:rsidR="00E600BA">
        <w:rPr>
          <w:rFonts w:ascii="Calibri" w:eastAsia="Malgun Gothic" w:hAnsi="Calibri" w:cs="Batang"/>
          <w:lang w:val="en-GB" w:eastAsia="ko-KR"/>
        </w:rPr>
        <w:t>10</w:t>
      </w:r>
      <w:r w:rsidR="00C11DC0">
        <w:rPr>
          <w:rFonts w:ascii="Calibri" w:eastAsia="Malgun Gothic" w:hAnsi="Calibri" w:cs="Batang"/>
          <w:lang w:val="en-GB" w:eastAsia="ko-KR"/>
        </w:rPr>
        <w:t>-e meeting</w:t>
      </w:r>
      <w:r w:rsidR="00E600BA">
        <w:rPr>
          <w:rFonts w:ascii="Calibri" w:eastAsia="Malgun Gothic" w:hAnsi="Calibri" w:cs="Batang"/>
          <w:lang w:val="en-GB" w:eastAsia="ko-KR"/>
        </w:rPr>
        <w:t>, the issue of indication to descendant IAB nodes was discussed</w:t>
      </w:r>
      <w:r>
        <w:rPr>
          <w:rFonts w:ascii="Calibri" w:eastAsia="Malgun Gothic" w:hAnsi="Calibri" w:cs="Batang"/>
          <w:lang w:val="en-GB" w:eastAsia="ko-KR"/>
        </w:rPr>
        <w:t xml:space="preserve"> [1]</w:t>
      </w:r>
      <w:r w:rsidR="00E600BA">
        <w:rPr>
          <w:rFonts w:ascii="Calibri" w:eastAsia="Malgun Gothic" w:hAnsi="Calibri" w:cs="Batang"/>
          <w:lang w:val="en-GB" w:eastAsia="ko-KR"/>
        </w:rPr>
        <w:t xml:space="preserve">. While it was agreed that </w:t>
      </w:r>
      <w:r w:rsidR="00D813F8">
        <w:rPr>
          <w:rFonts w:ascii="Calibri" w:eastAsia="Malgun Gothic" w:hAnsi="Calibri" w:cs="Batang"/>
          <w:lang w:val="en-GB" w:eastAsia="ko-KR"/>
        </w:rPr>
        <w:t xml:space="preserve">RRCReconfiguration to the descendant IAB node can be transferred via the source path before the migrating IAB node detaches from the source parent cell, there was no agreement regarding how descendant nodes could be </w:t>
      </w:r>
      <w:r w:rsidR="00147E95">
        <w:rPr>
          <w:rFonts w:ascii="Calibri" w:eastAsia="Malgun Gothic" w:hAnsi="Calibri" w:cs="Batang"/>
          <w:lang w:val="en-GB" w:eastAsia="ko-KR"/>
        </w:rPr>
        <w:t>informe</w:t>
      </w:r>
      <w:r w:rsidR="00D813F8">
        <w:rPr>
          <w:rFonts w:ascii="Calibri" w:eastAsia="Malgun Gothic" w:hAnsi="Calibri" w:cs="Batang"/>
          <w:lang w:val="en-GB" w:eastAsia="ko-KR"/>
        </w:rPr>
        <w:t xml:space="preserve">d </w:t>
      </w:r>
      <w:r w:rsidR="008C7F60">
        <w:rPr>
          <w:rFonts w:ascii="Calibri" w:eastAsia="Malgun Gothic" w:hAnsi="Calibri" w:cs="Batang"/>
          <w:lang w:val="en-GB" w:eastAsia="ko-KR"/>
        </w:rPr>
        <w:t>about</w:t>
      </w:r>
      <w:r w:rsidR="00D813F8">
        <w:rPr>
          <w:rFonts w:ascii="Calibri" w:eastAsia="Malgun Gothic" w:hAnsi="Calibri" w:cs="Batang"/>
          <w:lang w:val="en-GB" w:eastAsia="ko-KR"/>
        </w:rPr>
        <w:t xml:space="preserve"> a parent node undergoing migration. Additionally, there was also no agreement regarding how buffering of the RRC</w:t>
      </w:r>
      <w:r w:rsidR="00D11ABE">
        <w:rPr>
          <w:rFonts w:ascii="Calibri" w:eastAsia="Malgun Gothic" w:hAnsi="Calibri" w:cs="Batang"/>
          <w:lang w:val="en-GB" w:eastAsia="ko-KR"/>
        </w:rPr>
        <w:t>Rec</w:t>
      </w:r>
      <w:r w:rsidR="00D813F8">
        <w:rPr>
          <w:rFonts w:ascii="Calibri" w:eastAsia="Malgun Gothic" w:hAnsi="Calibri" w:cs="Batang"/>
          <w:lang w:val="en-GB" w:eastAsia="ko-KR"/>
        </w:rPr>
        <w:t xml:space="preserve">onfiguration </w:t>
      </w:r>
      <w:r w:rsidR="00385522">
        <w:rPr>
          <w:rFonts w:ascii="Calibri" w:eastAsia="Malgun Gothic" w:hAnsi="Calibri" w:cs="Batang"/>
          <w:lang w:val="en-GB" w:eastAsia="ko-KR"/>
        </w:rPr>
        <w:t xml:space="preserve">message </w:t>
      </w:r>
      <w:r w:rsidR="00D813F8">
        <w:rPr>
          <w:rFonts w:ascii="Calibri" w:eastAsia="Malgun Gothic" w:hAnsi="Calibri" w:cs="Batang"/>
          <w:lang w:val="en-GB" w:eastAsia="ko-KR"/>
        </w:rPr>
        <w:t xml:space="preserve">can be enabled at the </w:t>
      </w:r>
      <w:r w:rsidR="009B15BF">
        <w:rPr>
          <w:rFonts w:ascii="Calibri" w:eastAsia="Malgun Gothic" w:hAnsi="Calibri" w:cs="Batang"/>
          <w:lang w:val="en-GB" w:eastAsia="ko-KR"/>
        </w:rPr>
        <w:t>parent</w:t>
      </w:r>
      <w:r w:rsidR="00D813F8">
        <w:rPr>
          <w:rFonts w:ascii="Calibri" w:eastAsia="Malgun Gothic" w:hAnsi="Calibri" w:cs="Batang"/>
          <w:lang w:val="en-GB" w:eastAsia="ko-KR"/>
        </w:rPr>
        <w:t xml:space="preserve"> </w:t>
      </w:r>
      <w:r w:rsidR="009D7A0D">
        <w:rPr>
          <w:rFonts w:ascii="Calibri" w:eastAsia="Malgun Gothic" w:hAnsi="Calibri" w:cs="Batang"/>
          <w:lang w:val="en-GB" w:eastAsia="ko-KR"/>
        </w:rPr>
        <w:t>IAB-DU</w:t>
      </w:r>
      <w:r w:rsidR="00D813F8">
        <w:rPr>
          <w:rFonts w:ascii="Calibri" w:eastAsia="Malgun Gothic" w:hAnsi="Calibri" w:cs="Batang"/>
          <w:lang w:val="en-GB" w:eastAsia="ko-KR"/>
        </w:rPr>
        <w:t xml:space="preserve"> of each descendant IAB node until the migrating IAB node </w:t>
      </w:r>
      <w:r w:rsidR="00563B35">
        <w:rPr>
          <w:rFonts w:ascii="Calibri" w:eastAsia="Malgun Gothic" w:hAnsi="Calibri" w:cs="Batang"/>
          <w:lang w:val="en-GB" w:eastAsia="ko-KR"/>
        </w:rPr>
        <w:t xml:space="preserve">is trying to complete </w:t>
      </w:r>
      <w:r w:rsidR="00D813F8">
        <w:rPr>
          <w:rFonts w:ascii="Calibri" w:eastAsia="Malgun Gothic" w:hAnsi="Calibri" w:cs="Batang"/>
          <w:lang w:val="en-GB" w:eastAsia="ko-KR"/>
        </w:rPr>
        <w:t xml:space="preserve">its own migration to </w:t>
      </w:r>
      <w:r w:rsidR="00563B35">
        <w:rPr>
          <w:rFonts w:ascii="Calibri" w:eastAsia="Malgun Gothic" w:hAnsi="Calibri" w:cs="Batang"/>
          <w:lang w:val="en-GB" w:eastAsia="ko-KR"/>
        </w:rPr>
        <w:t xml:space="preserve">its </w:t>
      </w:r>
      <w:r w:rsidR="00D813F8">
        <w:rPr>
          <w:rFonts w:ascii="Calibri" w:eastAsia="Malgun Gothic" w:hAnsi="Calibri" w:cs="Batang"/>
          <w:lang w:val="en-GB" w:eastAsia="ko-KR"/>
        </w:rPr>
        <w:t xml:space="preserve">target parent. One of the issues raised by some companies </w:t>
      </w:r>
      <w:r w:rsidR="00385522">
        <w:rPr>
          <w:rFonts w:ascii="Calibri" w:eastAsia="Malgun Gothic" w:hAnsi="Calibri" w:cs="Batang"/>
          <w:lang w:val="en-GB" w:eastAsia="ko-KR"/>
        </w:rPr>
        <w:t>w</w:t>
      </w:r>
      <w:r w:rsidR="00D813F8">
        <w:rPr>
          <w:rFonts w:ascii="Calibri" w:eastAsia="Malgun Gothic" w:hAnsi="Calibri" w:cs="Batang"/>
          <w:lang w:val="en-GB" w:eastAsia="ko-KR"/>
        </w:rPr>
        <w:t>as</w:t>
      </w:r>
      <w:r w:rsidR="008C7F60">
        <w:rPr>
          <w:rFonts w:ascii="Calibri" w:eastAsia="Malgun Gothic" w:hAnsi="Calibri" w:cs="Batang"/>
          <w:lang w:val="en-GB" w:eastAsia="ko-KR"/>
        </w:rPr>
        <w:t xml:space="preserve"> </w:t>
      </w:r>
      <w:r w:rsidR="00D813F8">
        <w:rPr>
          <w:rFonts w:ascii="Calibri" w:eastAsia="Malgun Gothic" w:hAnsi="Calibri" w:cs="Batang"/>
          <w:lang w:val="en-GB" w:eastAsia="ko-KR"/>
        </w:rPr>
        <w:t xml:space="preserve">that since the RRCReconfiguration messages cannot be read by the </w:t>
      </w:r>
      <w:r w:rsidR="009B15BF">
        <w:rPr>
          <w:rFonts w:ascii="Calibri" w:eastAsia="Malgun Gothic" w:hAnsi="Calibri" w:cs="Batang"/>
          <w:lang w:val="en-GB" w:eastAsia="ko-KR"/>
        </w:rPr>
        <w:t>parent</w:t>
      </w:r>
      <w:r w:rsidR="00D813F8">
        <w:rPr>
          <w:rFonts w:ascii="Calibri" w:eastAsia="Malgun Gothic" w:hAnsi="Calibri" w:cs="Batang"/>
          <w:lang w:val="en-GB" w:eastAsia="ko-KR"/>
        </w:rPr>
        <w:t xml:space="preserve"> </w:t>
      </w:r>
      <w:r w:rsidR="009D7A0D">
        <w:rPr>
          <w:rFonts w:ascii="Calibri" w:eastAsia="Malgun Gothic" w:hAnsi="Calibri" w:cs="Batang"/>
          <w:lang w:val="en-GB" w:eastAsia="ko-KR"/>
        </w:rPr>
        <w:t>IAB-DU</w:t>
      </w:r>
      <w:r w:rsidR="00D813F8">
        <w:rPr>
          <w:rFonts w:ascii="Calibri" w:eastAsia="Malgun Gothic" w:hAnsi="Calibri" w:cs="Batang"/>
          <w:lang w:val="en-GB" w:eastAsia="ko-KR"/>
        </w:rPr>
        <w:t xml:space="preserve"> of a descendant IAB node, there is no way for the </w:t>
      </w:r>
      <w:r w:rsidR="009B15BF">
        <w:rPr>
          <w:rFonts w:ascii="Calibri" w:eastAsia="Malgun Gothic" w:hAnsi="Calibri" w:cs="Batang"/>
          <w:lang w:val="en-GB" w:eastAsia="ko-KR"/>
        </w:rPr>
        <w:t>parent</w:t>
      </w:r>
      <w:r w:rsidR="00D813F8">
        <w:rPr>
          <w:rFonts w:ascii="Calibri" w:eastAsia="Malgun Gothic" w:hAnsi="Calibri" w:cs="Batang"/>
          <w:lang w:val="en-GB" w:eastAsia="ko-KR"/>
        </w:rPr>
        <w:t xml:space="preserve"> </w:t>
      </w:r>
      <w:r w:rsidR="009D7A0D">
        <w:rPr>
          <w:rFonts w:ascii="Calibri" w:eastAsia="Malgun Gothic" w:hAnsi="Calibri" w:cs="Batang"/>
          <w:lang w:val="en-GB" w:eastAsia="ko-KR"/>
        </w:rPr>
        <w:t>IAB-DU</w:t>
      </w:r>
      <w:r w:rsidR="00D813F8">
        <w:rPr>
          <w:rFonts w:ascii="Calibri" w:eastAsia="Malgun Gothic" w:hAnsi="Calibri" w:cs="Batang"/>
          <w:lang w:val="en-GB" w:eastAsia="ko-KR"/>
        </w:rPr>
        <w:t xml:space="preserve"> to know wh</w:t>
      </w:r>
      <w:bookmarkStart w:id="2" w:name="_GoBack"/>
      <w:bookmarkEnd w:id="2"/>
      <w:r w:rsidR="00D813F8">
        <w:rPr>
          <w:rFonts w:ascii="Calibri" w:eastAsia="Malgun Gothic" w:hAnsi="Calibri" w:cs="Batang"/>
          <w:lang w:val="en-GB" w:eastAsia="ko-KR"/>
        </w:rPr>
        <w:t xml:space="preserve">ich message to buffer. </w:t>
      </w:r>
    </w:p>
    <w:p w14:paraId="49BC8073" w14:textId="5667EBED" w:rsidR="00AD7A71" w:rsidRDefault="00D813F8" w:rsidP="0032179D">
      <w:pPr>
        <w:spacing w:before="240" w:after="240"/>
        <w:rPr>
          <w:rFonts w:ascii="Calibri" w:eastAsia="Malgun Gothic" w:hAnsi="Calibri" w:cs="Batang"/>
          <w:lang w:val="en-GB" w:eastAsia="ko-KR"/>
        </w:rPr>
      </w:pPr>
      <w:r>
        <w:rPr>
          <w:rFonts w:ascii="Calibri" w:eastAsia="Malgun Gothic" w:hAnsi="Calibri" w:cs="Batang"/>
          <w:lang w:val="en-GB" w:eastAsia="ko-KR"/>
        </w:rPr>
        <w:t xml:space="preserve">One possible solution to both the above problems is </w:t>
      </w:r>
      <w:r w:rsidR="00E903D7">
        <w:rPr>
          <w:rFonts w:ascii="Calibri" w:eastAsia="Malgun Gothic" w:hAnsi="Calibri" w:cs="Batang"/>
          <w:lang w:val="en-GB" w:eastAsia="ko-KR"/>
        </w:rPr>
        <w:t xml:space="preserve">the </w:t>
      </w:r>
      <w:r w:rsidR="00147E95">
        <w:rPr>
          <w:rFonts w:ascii="Calibri" w:eastAsia="Malgun Gothic" w:hAnsi="Calibri" w:cs="Batang"/>
          <w:lang w:val="en-GB" w:eastAsia="ko-KR"/>
        </w:rPr>
        <w:t>provision</w:t>
      </w:r>
      <w:r w:rsidR="00E903D7">
        <w:rPr>
          <w:rFonts w:ascii="Calibri" w:eastAsia="Malgun Gothic" w:hAnsi="Calibri" w:cs="Batang"/>
          <w:lang w:val="en-GB" w:eastAsia="ko-KR"/>
        </w:rPr>
        <w:t xml:space="preserve"> of an </w:t>
      </w:r>
      <w:r w:rsidR="00563B35">
        <w:rPr>
          <w:rFonts w:ascii="Calibri" w:eastAsia="Malgun Gothic" w:hAnsi="Calibri" w:cs="Batang"/>
          <w:lang w:val="en-GB" w:eastAsia="ko-KR"/>
        </w:rPr>
        <w:t xml:space="preserve">F1AP-based </w:t>
      </w:r>
      <w:r w:rsidR="00E903D7">
        <w:rPr>
          <w:rFonts w:ascii="Calibri" w:eastAsia="Malgun Gothic" w:hAnsi="Calibri" w:cs="Batang"/>
          <w:lang w:val="en-GB" w:eastAsia="ko-KR"/>
        </w:rPr>
        <w:t xml:space="preserve">indication </w:t>
      </w:r>
      <w:r w:rsidR="00147E95">
        <w:rPr>
          <w:rFonts w:ascii="Calibri" w:eastAsia="Malgun Gothic" w:hAnsi="Calibri" w:cs="Batang"/>
          <w:lang w:val="en-GB" w:eastAsia="ko-KR"/>
        </w:rPr>
        <w:t xml:space="preserve">from the CU-CP </w:t>
      </w:r>
      <w:r>
        <w:rPr>
          <w:rFonts w:ascii="Calibri" w:eastAsia="Malgun Gothic" w:hAnsi="Calibri" w:cs="Batang"/>
          <w:lang w:val="en-GB" w:eastAsia="ko-KR"/>
        </w:rPr>
        <w:t>to the</w:t>
      </w:r>
      <w:r w:rsidR="00E903D7">
        <w:rPr>
          <w:rFonts w:ascii="Calibri" w:eastAsia="Malgun Gothic" w:hAnsi="Calibri" w:cs="Batang"/>
          <w:lang w:val="en-GB" w:eastAsia="ko-KR"/>
        </w:rPr>
        <w:t xml:space="preserve"> </w:t>
      </w:r>
      <w:r w:rsidR="009B15BF">
        <w:rPr>
          <w:rFonts w:ascii="Calibri" w:eastAsia="Malgun Gothic" w:hAnsi="Calibri" w:cs="Batang"/>
          <w:lang w:val="en-GB" w:eastAsia="ko-KR"/>
        </w:rPr>
        <w:t>parent</w:t>
      </w:r>
      <w:r w:rsidR="00E903D7">
        <w:rPr>
          <w:rFonts w:ascii="Calibri" w:eastAsia="Malgun Gothic" w:hAnsi="Calibri" w:cs="Batang"/>
          <w:lang w:val="en-GB" w:eastAsia="ko-KR"/>
        </w:rPr>
        <w:t xml:space="preserve"> </w:t>
      </w:r>
      <w:r w:rsidR="009D7A0D">
        <w:rPr>
          <w:rFonts w:ascii="Calibri" w:eastAsia="Malgun Gothic" w:hAnsi="Calibri" w:cs="Batang"/>
          <w:lang w:val="en-GB" w:eastAsia="ko-KR"/>
        </w:rPr>
        <w:t>IAB-DU</w:t>
      </w:r>
      <w:r w:rsidR="00E903D7">
        <w:rPr>
          <w:rFonts w:ascii="Calibri" w:eastAsia="Malgun Gothic" w:hAnsi="Calibri" w:cs="Batang"/>
          <w:lang w:val="en-GB" w:eastAsia="ko-KR"/>
        </w:rPr>
        <w:t xml:space="preserve"> of </w:t>
      </w:r>
      <w:r w:rsidR="008C7F60">
        <w:rPr>
          <w:rFonts w:ascii="Calibri" w:eastAsia="Malgun Gothic" w:hAnsi="Calibri" w:cs="Batang"/>
          <w:lang w:val="en-GB" w:eastAsia="ko-KR"/>
        </w:rPr>
        <w:t>the</w:t>
      </w:r>
      <w:r w:rsidR="00E903D7">
        <w:rPr>
          <w:rFonts w:ascii="Calibri" w:eastAsia="Malgun Gothic" w:hAnsi="Calibri" w:cs="Batang"/>
          <w:lang w:val="en-GB" w:eastAsia="ko-KR"/>
        </w:rPr>
        <w:t xml:space="preserve"> descendant IAB node about the initiation of IAB node migration further up in the topology. </w:t>
      </w:r>
      <w:r w:rsidR="00147E95">
        <w:rPr>
          <w:rFonts w:ascii="Calibri" w:eastAsia="Malgun Gothic" w:hAnsi="Calibri" w:cs="Batang"/>
          <w:lang w:val="en-GB" w:eastAsia="ko-KR"/>
        </w:rPr>
        <w:t>Such indication can be provided as part of the F1AP UE_CONTEXT_MODIFICATION_REQUEST message</w:t>
      </w:r>
      <w:r w:rsidR="001B39F1">
        <w:rPr>
          <w:rFonts w:ascii="Calibri" w:eastAsia="Malgun Gothic" w:hAnsi="Calibri" w:cs="Batang"/>
          <w:lang w:val="en-GB" w:eastAsia="ko-KR"/>
        </w:rPr>
        <w:t xml:space="preserve"> that is decodable by the parent IAB-DU of the IAB-MT for which the RRCReconfiguration is targeted</w:t>
      </w:r>
      <w:r w:rsidR="00147E95">
        <w:rPr>
          <w:rFonts w:ascii="Calibri" w:eastAsia="Malgun Gothic" w:hAnsi="Calibri" w:cs="Batang"/>
          <w:lang w:val="en-GB" w:eastAsia="ko-KR"/>
        </w:rPr>
        <w:t xml:space="preserve">. </w:t>
      </w:r>
      <w:r w:rsidR="00563B35">
        <w:rPr>
          <w:rFonts w:ascii="Calibri" w:eastAsia="Malgun Gothic" w:hAnsi="Calibri" w:cs="Batang"/>
          <w:lang w:val="en-GB" w:eastAsia="ko-KR"/>
        </w:rPr>
        <w:t xml:space="preserve">In order for such indication to be associated with the migration, we propose a new optional information element called IAB-ParentMigrationIndication to be added to the F1AP IE CU to DU RRC Information. The CU to DU RRC Information IE carries the HandoverPreparationInformation that contains the embedded RRCReconfiguration message for delivery to the </w:t>
      </w:r>
      <w:r w:rsidR="009D7A0D">
        <w:rPr>
          <w:rFonts w:ascii="Calibri" w:eastAsia="Malgun Gothic" w:hAnsi="Calibri" w:cs="Batang"/>
          <w:lang w:val="en-GB" w:eastAsia="ko-KR"/>
        </w:rPr>
        <w:t>IAB-MT</w:t>
      </w:r>
      <w:r w:rsidR="00563B35">
        <w:rPr>
          <w:rFonts w:ascii="Calibri" w:eastAsia="Malgun Gothic" w:hAnsi="Calibri" w:cs="Batang"/>
          <w:lang w:val="en-GB" w:eastAsia="ko-KR"/>
        </w:rPr>
        <w:t xml:space="preserve"> of the descendant IAB node. Normally, when the </w:t>
      </w:r>
      <w:r w:rsidR="009B15BF">
        <w:rPr>
          <w:rFonts w:ascii="Calibri" w:eastAsia="Malgun Gothic" w:hAnsi="Calibri" w:cs="Batang"/>
          <w:lang w:val="en-GB" w:eastAsia="ko-KR"/>
        </w:rPr>
        <w:t>parent</w:t>
      </w:r>
      <w:r w:rsidR="00563B35">
        <w:rPr>
          <w:rFonts w:ascii="Calibri" w:eastAsia="Malgun Gothic" w:hAnsi="Calibri" w:cs="Batang"/>
          <w:lang w:val="en-GB" w:eastAsia="ko-KR"/>
        </w:rPr>
        <w:t xml:space="preserve"> </w:t>
      </w:r>
      <w:r w:rsidR="009D7A0D">
        <w:rPr>
          <w:rFonts w:ascii="Calibri" w:eastAsia="Malgun Gothic" w:hAnsi="Calibri" w:cs="Batang"/>
          <w:lang w:val="en-GB" w:eastAsia="ko-KR"/>
        </w:rPr>
        <w:t>IAB-DU</w:t>
      </w:r>
      <w:r w:rsidR="00563B35">
        <w:rPr>
          <w:rFonts w:ascii="Calibri" w:eastAsia="Malgun Gothic" w:hAnsi="Calibri" w:cs="Batang"/>
          <w:lang w:val="en-GB" w:eastAsia="ko-KR"/>
        </w:rPr>
        <w:t xml:space="preserve"> of the </w:t>
      </w:r>
      <w:r w:rsidR="009D7A0D">
        <w:rPr>
          <w:rFonts w:ascii="Calibri" w:eastAsia="Malgun Gothic" w:hAnsi="Calibri" w:cs="Batang"/>
          <w:lang w:val="en-GB" w:eastAsia="ko-KR"/>
        </w:rPr>
        <w:t>IAB-MT</w:t>
      </w:r>
      <w:r w:rsidR="00563B35">
        <w:rPr>
          <w:rFonts w:ascii="Calibri" w:eastAsia="Malgun Gothic" w:hAnsi="Calibri" w:cs="Batang"/>
          <w:lang w:val="en-GB" w:eastAsia="ko-KR"/>
        </w:rPr>
        <w:t xml:space="preserve"> of the descendant IAB node receives the UE_CONTEXT_MODIFICATION_REQUEST message over the F1AP interface from the serving CU-CP, it extracts the HandoverPreparationInformation message containing the RRCReconfiguration from the CU to DU RRC Information IE and forwards it over the air to the said </w:t>
      </w:r>
      <w:r w:rsidR="009D7A0D">
        <w:rPr>
          <w:rFonts w:ascii="Calibri" w:eastAsia="Malgun Gothic" w:hAnsi="Calibri" w:cs="Batang"/>
          <w:lang w:val="en-GB" w:eastAsia="ko-KR"/>
        </w:rPr>
        <w:t>IAB-MT</w:t>
      </w:r>
      <w:r w:rsidR="00563B35">
        <w:rPr>
          <w:rFonts w:ascii="Calibri" w:eastAsia="Malgun Gothic" w:hAnsi="Calibri" w:cs="Batang"/>
          <w:lang w:val="en-GB" w:eastAsia="ko-KR"/>
        </w:rPr>
        <w:t xml:space="preserve">. In the case of IAB node migration, when the UE_CONTEXT_MODIFICATION_REQUEST is sent to </w:t>
      </w:r>
      <w:r w:rsidR="008C7F60">
        <w:rPr>
          <w:rFonts w:ascii="Calibri" w:eastAsia="Malgun Gothic" w:hAnsi="Calibri" w:cs="Batang"/>
          <w:lang w:val="en-GB" w:eastAsia="ko-KR"/>
        </w:rPr>
        <w:t>the</w:t>
      </w:r>
      <w:r w:rsidR="00563B35">
        <w:rPr>
          <w:rFonts w:ascii="Calibri" w:eastAsia="Malgun Gothic" w:hAnsi="Calibri" w:cs="Batang"/>
          <w:lang w:val="en-GB" w:eastAsia="ko-KR"/>
        </w:rPr>
        <w:t xml:space="preserve"> descendant IAB node via the source path, the </w:t>
      </w:r>
      <w:r w:rsidR="001B39F1">
        <w:rPr>
          <w:rFonts w:ascii="Calibri" w:eastAsia="Malgun Gothic" w:hAnsi="Calibri" w:cs="Batang"/>
          <w:lang w:val="en-GB" w:eastAsia="ko-KR"/>
        </w:rPr>
        <w:t xml:space="preserve">proposed </w:t>
      </w:r>
      <w:r w:rsidR="00563B35">
        <w:rPr>
          <w:rFonts w:ascii="Calibri" w:eastAsia="Malgun Gothic" w:hAnsi="Calibri" w:cs="Batang"/>
          <w:lang w:val="en-GB" w:eastAsia="ko-KR"/>
        </w:rPr>
        <w:t xml:space="preserve">IAB-ParentMigrationIndication IE </w:t>
      </w:r>
      <w:r w:rsidR="001B39F1">
        <w:rPr>
          <w:rFonts w:ascii="Calibri" w:eastAsia="Malgun Gothic" w:hAnsi="Calibri" w:cs="Batang"/>
          <w:lang w:val="en-GB" w:eastAsia="ko-KR"/>
        </w:rPr>
        <w:t xml:space="preserve">in the CU to DU RRC Information IE </w:t>
      </w:r>
      <w:r w:rsidR="00563B35">
        <w:rPr>
          <w:rFonts w:ascii="Calibri" w:eastAsia="Malgun Gothic" w:hAnsi="Calibri" w:cs="Batang"/>
          <w:lang w:val="en-GB" w:eastAsia="ko-KR"/>
        </w:rPr>
        <w:t xml:space="preserve">can be set to true to indicate to the </w:t>
      </w:r>
      <w:r w:rsidR="009B15BF">
        <w:rPr>
          <w:rFonts w:ascii="Calibri" w:eastAsia="Malgun Gothic" w:hAnsi="Calibri" w:cs="Batang"/>
          <w:lang w:val="en-GB" w:eastAsia="ko-KR"/>
        </w:rPr>
        <w:t>parent</w:t>
      </w:r>
      <w:r w:rsidR="00563B35">
        <w:rPr>
          <w:rFonts w:ascii="Calibri" w:eastAsia="Malgun Gothic" w:hAnsi="Calibri" w:cs="Batang"/>
          <w:lang w:val="en-GB" w:eastAsia="ko-KR"/>
        </w:rPr>
        <w:t xml:space="preserve"> </w:t>
      </w:r>
      <w:r w:rsidR="009D7A0D">
        <w:rPr>
          <w:rFonts w:ascii="Calibri" w:eastAsia="Malgun Gothic" w:hAnsi="Calibri" w:cs="Batang"/>
          <w:lang w:val="en-GB" w:eastAsia="ko-KR"/>
        </w:rPr>
        <w:t>IAB-DU</w:t>
      </w:r>
      <w:r w:rsidR="00563B35">
        <w:rPr>
          <w:rFonts w:ascii="Calibri" w:eastAsia="Malgun Gothic" w:hAnsi="Calibri" w:cs="Batang"/>
          <w:lang w:val="en-GB" w:eastAsia="ko-KR"/>
        </w:rPr>
        <w:t xml:space="preserve"> of the </w:t>
      </w:r>
      <w:r w:rsidR="009D7A0D">
        <w:rPr>
          <w:rFonts w:ascii="Calibri" w:eastAsia="Malgun Gothic" w:hAnsi="Calibri" w:cs="Batang"/>
          <w:lang w:val="en-GB" w:eastAsia="ko-KR"/>
        </w:rPr>
        <w:t>IAB-MT</w:t>
      </w:r>
      <w:r w:rsidR="00563B35">
        <w:rPr>
          <w:rFonts w:ascii="Calibri" w:eastAsia="Malgun Gothic" w:hAnsi="Calibri" w:cs="Batang"/>
          <w:lang w:val="en-GB" w:eastAsia="ko-KR"/>
        </w:rPr>
        <w:t xml:space="preserve"> of </w:t>
      </w:r>
      <w:r w:rsidR="008C7F60">
        <w:rPr>
          <w:rFonts w:ascii="Calibri" w:eastAsia="Malgun Gothic" w:hAnsi="Calibri" w:cs="Batang"/>
          <w:lang w:val="en-GB" w:eastAsia="ko-KR"/>
        </w:rPr>
        <w:t>the</w:t>
      </w:r>
      <w:r w:rsidR="00563B35">
        <w:rPr>
          <w:rFonts w:ascii="Calibri" w:eastAsia="Malgun Gothic" w:hAnsi="Calibri" w:cs="Batang"/>
          <w:lang w:val="en-GB" w:eastAsia="ko-KR"/>
        </w:rPr>
        <w:t xml:space="preserve"> descendant IAB node that a</w:t>
      </w:r>
      <w:r w:rsidR="008C7F60">
        <w:rPr>
          <w:rFonts w:ascii="Calibri" w:eastAsia="Malgun Gothic" w:hAnsi="Calibri" w:cs="Batang"/>
          <w:lang w:val="en-GB" w:eastAsia="ko-KR"/>
        </w:rPr>
        <w:t>n upstream</w:t>
      </w:r>
      <w:r w:rsidR="00563B35">
        <w:rPr>
          <w:rFonts w:ascii="Calibri" w:eastAsia="Malgun Gothic" w:hAnsi="Calibri" w:cs="Batang"/>
          <w:lang w:val="en-GB" w:eastAsia="ko-KR"/>
        </w:rPr>
        <w:t xml:space="preserve"> IAB node is undergoing migration.</w:t>
      </w:r>
      <w:r w:rsidR="0032179D">
        <w:rPr>
          <w:rFonts w:ascii="Calibri" w:eastAsia="Malgun Gothic" w:hAnsi="Calibri" w:cs="Batang"/>
          <w:lang w:val="en-GB" w:eastAsia="ko-KR"/>
        </w:rPr>
        <w:t xml:space="preserve"> </w:t>
      </w:r>
    </w:p>
    <w:p w14:paraId="52569E9B" w14:textId="0AC37EB5" w:rsidR="00563B35" w:rsidRDefault="00563B35" w:rsidP="00D813F8">
      <w:pPr>
        <w:spacing w:before="240" w:after="240"/>
        <w:rPr>
          <w:rFonts w:ascii="Calibri" w:eastAsia="Malgun Gothic" w:hAnsi="Calibri" w:cs="Batang"/>
          <w:lang w:val="en-GB" w:eastAsia="ko-KR"/>
        </w:rPr>
      </w:pPr>
      <w:r>
        <w:rPr>
          <w:rFonts w:ascii="Calibri" w:eastAsia="Malgun Gothic" w:hAnsi="Calibri" w:cs="Batang"/>
          <w:lang w:val="en-GB" w:eastAsia="ko-KR"/>
        </w:rPr>
        <w:lastRenderedPageBreak/>
        <w:t xml:space="preserve">Additionally, </w:t>
      </w:r>
      <w:r w:rsidR="00C068CE">
        <w:rPr>
          <w:rFonts w:ascii="Calibri" w:eastAsia="Malgun Gothic" w:hAnsi="Calibri" w:cs="Batang"/>
          <w:lang w:val="en-GB" w:eastAsia="ko-KR"/>
        </w:rPr>
        <w:t>a true value for</w:t>
      </w:r>
      <w:r>
        <w:rPr>
          <w:rFonts w:ascii="Calibri" w:eastAsia="Malgun Gothic" w:hAnsi="Calibri" w:cs="Batang"/>
          <w:lang w:val="en-GB" w:eastAsia="ko-KR"/>
        </w:rPr>
        <w:t xml:space="preserve"> IAB-ParentMigrationIndication </w:t>
      </w:r>
      <w:r w:rsidR="001B39F1">
        <w:rPr>
          <w:rFonts w:ascii="Calibri" w:eastAsia="Malgun Gothic" w:hAnsi="Calibri" w:cs="Batang"/>
          <w:lang w:val="en-GB" w:eastAsia="ko-KR"/>
        </w:rPr>
        <w:t xml:space="preserve">IE in the CU to DU RRC Information IE indicates to </w:t>
      </w:r>
      <w:r w:rsidR="008C7F60">
        <w:rPr>
          <w:rFonts w:ascii="Calibri" w:eastAsia="Malgun Gothic" w:hAnsi="Calibri" w:cs="Batang"/>
          <w:lang w:val="en-GB" w:eastAsia="ko-KR"/>
        </w:rPr>
        <w:t xml:space="preserve"> the </w:t>
      </w:r>
      <w:r w:rsidR="009B15BF">
        <w:rPr>
          <w:rFonts w:ascii="Calibri" w:eastAsia="Malgun Gothic" w:hAnsi="Calibri" w:cs="Batang"/>
          <w:lang w:val="en-GB" w:eastAsia="ko-KR"/>
        </w:rPr>
        <w:t>parent</w:t>
      </w:r>
      <w:r w:rsidR="00C068CE">
        <w:rPr>
          <w:rFonts w:ascii="Calibri" w:eastAsia="Malgun Gothic" w:hAnsi="Calibri" w:cs="Batang"/>
          <w:lang w:val="en-GB" w:eastAsia="ko-KR"/>
        </w:rPr>
        <w:t xml:space="preserve"> </w:t>
      </w:r>
      <w:r w:rsidR="009D7A0D">
        <w:rPr>
          <w:rFonts w:ascii="Calibri" w:eastAsia="Malgun Gothic" w:hAnsi="Calibri" w:cs="Batang"/>
          <w:lang w:val="en-GB" w:eastAsia="ko-KR"/>
        </w:rPr>
        <w:t>IAB-DU</w:t>
      </w:r>
      <w:r w:rsidR="00C068CE">
        <w:rPr>
          <w:rFonts w:ascii="Calibri" w:eastAsia="Malgun Gothic" w:hAnsi="Calibri" w:cs="Batang"/>
          <w:lang w:val="en-GB" w:eastAsia="ko-KR"/>
        </w:rPr>
        <w:t xml:space="preserve"> </w:t>
      </w:r>
      <w:r w:rsidR="008C7F60">
        <w:rPr>
          <w:rFonts w:ascii="Calibri" w:eastAsia="Malgun Gothic" w:hAnsi="Calibri" w:cs="Batang"/>
          <w:lang w:val="en-GB" w:eastAsia="ko-KR"/>
        </w:rPr>
        <w:t xml:space="preserve">of the descendant IAB-MT </w:t>
      </w:r>
      <w:r w:rsidR="001B39F1">
        <w:rPr>
          <w:rFonts w:ascii="Calibri" w:eastAsia="Malgun Gothic" w:hAnsi="Calibri" w:cs="Batang"/>
          <w:lang w:val="en-GB" w:eastAsia="ko-KR"/>
        </w:rPr>
        <w:t xml:space="preserve">that the corresponding HandoverPreparationInformation IE in the same CU to DU RRC Information IE contains an </w:t>
      </w:r>
      <w:r w:rsidR="00C068CE">
        <w:rPr>
          <w:rFonts w:ascii="Calibri" w:eastAsia="Malgun Gothic" w:hAnsi="Calibri" w:cs="Batang"/>
          <w:lang w:val="en-GB" w:eastAsia="ko-KR"/>
        </w:rPr>
        <w:t xml:space="preserve">RRCReconfiguration message </w:t>
      </w:r>
      <w:r w:rsidR="001B39F1">
        <w:rPr>
          <w:rFonts w:ascii="Calibri" w:eastAsia="Malgun Gothic" w:hAnsi="Calibri" w:cs="Batang"/>
          <w:lang w:val="en-GB" w:eastAsia="ko-KR"/>
        </w:rPr>
        <w:t>that needs to be buffered due to a</w:t>
      </w:r>
      <w:r w:rsidR="008C7F60">
        <w:rPr>
          <w:rFonts w:ascii="Calibri" w:eastAsia="Malgun Gothic" w:hAnsi="Calibri" w:cs="Batang"/>
          <w:lang w:val="en-GB" w:eastAsia="ko-KR"/>
        </w:rPr>
        <w:t>n upstream</w:t>
      </w:r>
      <w:r w:rsidR="001B39F1">
        <w:rPr>
          <w:rFonts w:ascii="Calibri" w:eastAsia="Malgun Gothic" w:hAnsi="Calibri" w:cs="Batang"/>
          <w:lang w:val="en-GB" w:eastAsia="ko-KR"/>
        </w:rPr>
        <w:t xml:space="preserve"> IAB node migration. </w:t>
      </w:r>
      <w:r w:rsidR="00C068CE">
        <w:rPr>
          <w:rFonts w:ascii="Calibri" w:eastAsia="Malgun Gothic" w:hAnsi="Calibri" w:cs="Batang"/>
          <w:lang w:val="en-GB" w:eastAsia="ko-KR"/>
        </w:rPr>
        <w:t xml:space="preserve">As discussed in [1] and [2], </w:t>
      </w:r>
      <w:r w:rsidR="008C7F60">
        <w:rPr>
          <w:rFonts w:ascii="Calibri" w:eastAsia="Malgun Gothic" w:hAnsi="Calibri" w:cs="Batang"/>
          <w:lang w:val="en-GB" w:eastAsia="ko-KR"/>
        </w:rPr>
        <w:t xml:space="preserve">eventually the </w:t>
      </w:r>
      <w:r w:rsidR="00C068CE">
        <w:rPr>
          <w:rFonts w:ascii="Calibri" w:eastAsia="Malgun Gothic" w:hAnsi="Calibri" w:cs="Batang"/>
          <w:lang w:val="en-GB" w:eastAsia="ko-KR"/>
        </w:rPr>
        <w:t xml:space="preserve">delivery </w:t>
      </w:r>
      <w:r w:rsidR="001B39F1">
        <w:rPr>
          <w:rFonts w:ascii="Calibri" w:eastAsia="Malgun Gothic" w:hAnsi="Calibri" w:cs="Batang"/>
          <w:lang w:val="en-GB" w:eastAsia="ko-KR"/>
        </w:rPr>
        <w:t xml:space="preserve">of this RRCReconfiguration message to the </w:t>
      </w:r>
      <w:r w:rsidR="008C7F60">
        <w:rPr>
          <w:rFonts w:ascii="Calibri" w:eastAsia="Malgun Gothic" w:hAnsi="Calibri" w:cs="Batang"/>
          <w:lang w:val="en-GB" w:eastAsia="ko-KR"/>
        </w:rPr>
        <w:t xml:space="preserve">designated </w:t>
      </w:r>
      <w:r w:rsidR="001B39F1">
        <w:rPr>
          <w:rFonts w:ascii="Calibri" w:eastAsia="Malgun Gothic" w:hAnsi="Calibri" w:cs="Batang"/>
          <w:lang w:val="en-GB" w:eastAsia="ko-KR"/>
        </w:rPr>
        <w:t xml:space="preserve">IAB-MT </w:t>
      </w:r>
      <w:r w:rsidR="00C068CE">
        <w:rPr>
          <w:rFonts w:ascii="Calibri" w:eastAsia="Malgun Gothic" w:hAnsi="Calibri" w:cs="Batang"/>
          <w:lang w:val="en-GB" w:eastAsia="ko-KR"/>
        </w:rPr>
        <w:t xml:space="preserve">can be triggered when the </w:t>
      </w:r>
      <w:r w:rsidR="009D7A0D">
        <w:rPr>
          <w:rFonts w:ascii="Calibri" w:eastAsia="Malgun Gothic" w:hAnsi="Calibri" w:cs="Batang"/>
          <w:lang w:val="en-GB" w:eastAsia="ko-KR"/>
        </w:rPr>
        <w:t>IAB-MT</w:t>
      </w:r>
      <w:r w:rsidR="00C068CE">
        <w:rPr>
          <w:rFonts w:ascii="Calibri" w:eastAsia="Malgun Gothic" w:hAnsi="Calibri" w:cs="Batang"/>
          <w:lang w:val="en-GB" w:eastAsia="ko-KR"/>
        </w:rPr>
        <w:t xml:space="preserve"> </w:t>
      </w:r>
      <w:r w:rsidR="001B39F1">
        <w:rPr>
          <w:rFonts w:ascii="Calibri" w:eastAsia="Malgun Gothic" w:hAnsi="Calibri" w:cs="Batang"/>
          <w:lang w:val="en-GB" w:eastAsia="ko-KR"/>
        </w:rPr>
        <w:t>co</w:t>
      </w:r>
      <w:r w:rsidR="003A5F41">
        <w:rPr>
          <w:rFonts w:ascii="Calibri" w:eastAsia="Malgun Gothic" w:hAnsi="Calibri" w:cs="Batang"/>
          <w:lang w:val="en-GB" w:eastAsia="ko-KR"/>
        </w:rPr>
        <w:t>-</w:t>
      </w:r>
      <w:r w:rsidR="001B39F1">
        <w:rPr>
          <w:rFonts w:ascii="Calibri" w:eastAsia="Malgun Gothic" w:hAnsi="Calibri" w:cs="Batang"/>
          <w:lang w:val="en-GB" w:eastAsia="ko-KR"/>
        </w:rPr>
        <w:t>located</w:t>
      </w:r>
      <w:r w:rsidR="00C068CE">
        <w:rPr>
          <w:rFonts w:ascii="Calibri" w:eastAsia="Malgun Gothic" w:hAnsi="Calibri" w:cs="Batang"/>
          <w:lang w:val="en-GB" w:eastAsia="ko-KR"/>
        </w:rPr>
        <w:t xml:space="preserve"> with the </w:t>
      </w:r>
      <w:r w:rsidR="009B15BF">
        <w:rPr>
          <w:rFonts w:ascii="Calibri" w:eastAsia="Malgun Gothic" w:hAnsi="Calibri" w:cs="Batang"/>
          <w:lang w:val="en-GB" w:eastAsia="ko-KR"/>
        </w:rPr>
        <w:t>parent</w:t>
      </w:r>
      <w:r w:rsidR="00C068CE">
        <w:rPr>
          <w:rFonts w:ascii="Calibri" w:eastAsia="Malgun Gothic" w:hAnsi="Calibri" w:cs="Batang"/>
          <w:lang w:val="en-GB" w:eastAsia="ko-KR"/>
        </w:rPr>
        <w:t xml:space="preserve"> </w:t>
      </w:r>
      <w:r w:rsidR="009D7A0D">
        <w:rPr>
          <w:rFonts w:ascii="Calibri" w:eastAsia="Malgun Gothic" w:hAnsi="Calibri" w:cs="Batang"/>
          <w:lang w:val="en-GB" w:eastAsia="ko-KR"/>
        </w:rPr>
        <w:t>IAB-DU</w:t>
      </w:r>
      <w:r w:rsidR="00C068CE">
        <w:rPr>
          <w:rFonts w:ascii="Calibri" w:eastAsia="Malgun Gothic" w:hAnsi="Calibri" w:cs="Batang"/>
          <w:lang w:val="en-GB" w:eastAsia="ko-KR"/>
        </w:rPr>
        <w:t xml:space="preserve"> receives its own RRCReconfiguration message. </w:t>
      </w:r>
    </w:p>
    <w:p w14:paraId="02546280" w14:textId="1B7CDDB8" w:rsidR="001B2D2A" w:rsidRDefault="00C068CE" w:rsidP="00CB22CC">
      <w:pPr>
        <w:spacing w:before="240" w:after="240"/>
        <w:rPr>
          <w:rFonts w:ascii="Calibri" w:eastAsia="Malgun Gothic" w:hAnsi="Calibri" w:cs="Batang"/>
          <w:lang w:val="en-GB" w:eastAsia="ko-KR"/>
        </w:rPr>
      </w:pPr>
      <w:r>
        <w:rPr>
          <w:rFonts w:ascii="Calibri" w:eastAsia="Malgun Gothic" w:hAnsi="Calibri" w:cs="Batang"/>
          <w:lang w:val="en-GB" w:eastAsia="ko-KR"/>
        </w:rPr>
        <w:t xml:space="preserve">The above solution is best described using the example that was discussed in [1] and [3]. As shown in Figure 1 below, this example shows a scenario where the migrating IAB node supports child and grandchild descendant IAB nodes. </w:t>
      </w:r>
      <w:r w:rsidR="006C4958">
        <w:rPr>
          <w:rFonts w:ascii="Calibri" w:eastAsia="Malgun Gothic" w:hAnsi="Calibri" w:cs="Batang"/>
          <w:lang w:val="en-GB" w:eastAsia="ko-KR"/>
        </w:rPr>
        <w:t xml:space="preserve">In this example, before the migrating IAB node receives its own RRCReconfiguration via its source path, the descendant IAB nodes are provided RRCReconfiguration messages with an IAB parent migration indication to the </w:t>
      </w:r>
      <w:r w:rsidR="009B15BF">
        <w:rPr>
          <w:rFonts w:ascii="Calibri" w:eastAsia="Malgun Gothic" w:hAnsi="Calibri" w:cs="Batang"/>
          <w:lang w:val="en-GB" w:eastAsia="ko-KR"/>
        </w:rPr>
        <w:t>parent</w:t>
      </w:r>
      <w:r w:rsidR="006C4958">
        <w:rPr>
          <w:rFonts w:ascii="Calibri" w:eastAsia="Malgun Gothic" w:hAnsi="Calibri" w:cs="Batang"/>
          <w:lang w:val="en-GB" w:eastAsia="ko-KR"/>
        </w:rPr>
        <w:t xml:space="preserve"> </w:t>
      </w:r>
      <w:r w:rsidR="009D7A0D">
        <w:rPr>
          <w:rFonts w:ascii="Calibri" w:eastAsia="Malgun Gothic" w:hAnsi="Calibri" w:cs="Batang"/>
          <w:lang w:val="en-GB" w:eastAsia="ko-KR"/>
        </w:rPr>
        <w:t>IAB-DU</w:t>
      </w:r>
      <w:r w:rsidR="006C4958">
        <w:rPr>
          <w:rFonts w:ascii="Calibri" w:eastAsia="Malgun Gothic" w:hAnsi="Calibri" w:cs="Batang"/>
          <w:lang w:val="en-GB" w:eastAsia="ko-KR"/>
        </w:rPr>
        <w:t xml:space="preserve"> of the </w:t>
      </w:r>
      <w:r w:rsidR="009D7A0D">
        <w:rPr>
          <w:rFonts w:ascii="Calibri" w:eastAsia="Malgun Gothic" w:hAnsi="Calibri" w:cs="Batang"/>
          <w:lang w:val="en-GB" w:eastAsia="ko-KR"/>
        </w:rPr>
        <w:t>IAB-MT</w:t>
      </w:r>
      <w:r w:rsidR="006C4958">
        <w:rPr>
          <w:rFonts w:ascii="Calibri" w:eastAsia="Malgun Gothic" w:hAnsi="Calibri" w:cs="Batang"/>
          <w:lang w:val="en-GB" w:eastAsia="ko-KR"/>
        </w:rPr>
        <w:t xml:space="preserve"> of each descendant IAB node. Note that </w:t>
      </w:r>
      <w:r w:rsidR="00484D2A">
        <w:rPr>
          <w:rFonts w:ascii="Calibri" w:eastAsia="Malgun Gothic" w:hAnsi="Calibri" w:cs="Batang"/>
          <w:lang w:val="en-GB" w:eastAsia="ko-KR"/>
        </w:rPr>
        <w:t>no hold or buffering is enabled for</w:t>
      </w:r>
      <w:r w:rsidR="006C4958">
        <w:rPr>
          <w:rFonts w:ascii="Calibri" w:eastAsia="Malgun Gothic" w:hAnsi="Calibri" w:cs="Batang"/>
          <w:lang w:val="en-GB" w:eastAsia="ko-KR"/>
        </w:rPr>
        <w:t xml:space="preserve"> the RRCReconfiguration message for the migrating IAB node. After the migrating IAB node completes a successful RACH procedure to attach to its target parent IAB node, </w:t>
      </w:r>
      <w:r w:rsidR="00CB22CC">
        <w:rPr>
          <w:rFonts w:ascii="Calibri" w:eastAsia="Malgun Gothic" w:hAnsi="Calibri" w:cs="Batang"/>
          <w:lang w:val="en-GB" w:eastAsia="ko-KR"/>
        </w:rPr>
        <w:t>it</w:t>
      </w:r>
      <w:r w:rsidR="001C37D5">
        <w:rPr>
          <w:rFonts w:ascii="Calibri" w:eastAsia="Malgun Gothic" w:hAnsi="Calibri" w:cs="Batang"/>
          <w:lang w:val="en-GB" w:eastAsia="ko-KR"/>
        </w:rPr>
        <w:t>’</w:t>
      </w:r>
      <w:r w:rsidR="00CB22CC">
        <w:rPr>
          <w:rFonts w:ascii="Calibri" w:eastAsia="Malgun Gothic" w:hAnsi="Calibri" w:cs="Batang"/>
          <w:lang w:val="en-GB" w:eastAsia="ko-KR"/>
        </w:rPr>
        <w:t xml:space="preserve">s corresponding </w:t>
      </w:r>
      <w:r w:rsidR="009D7A0D">
        <w:rPr>
          <w:rFonts w:ascii="Calibri" w:eastAsia="Malgun Gothic" w:hAnsi="Calibri" w:cs="Batang"/>
          <w:lang w:val="en-GB" w:eastAsia="ko-KR"/>
        </w:rPr>
        <w:t>IAB-DU</w:t>
      </w:r>
      <w:r w:rsidR="00CB22CC">
        <w:rPr>
          <w:rFonts w:ascii="Calibri" w:eastAsia="Malgun Gothic" w:hAnsi="Calibri" w:cs="Batang"/>
          <w:lang w:val="en-GB" w:eastAsia="ko-KR"/>
        </w:rPr>
        <w:t xml:space="preserve"> can release the hold on</w:t>
      </w:r>
      <w:r w:rsidR="001C37D5">
        <w:rPr>
          <w:rFonts w:ascii="Calibri" w:eastAsia="Malgun Gothic" w:hAnsi="Calibri" w:cs="Batang"/>
          <w:lang w:val="en-GB" w:eastAsia="ko-KR"/>
        </w:rPr>
        <w:t xml:space="preserve"> delivery of</w:t>
      </w:r>
      <w:r w:rsidR="00CB22CC">
        <w:rPr>
          <w:rFonts w:ascii="Calibri" w:eastAsia="Malgun Gothic" w:hAnsi="Calibri" w:cs="Batang"/>
          <w:lang w:val="en-GB" w:eastAsia="ko-KR"/>
        </w:rPr>
        <w:t xml:space="preserve"> RRCReconfiguration to its descendant node. Correspondingly</w:t>
      </w:r>
      <w:r w:rsidR="00F77BD6">
        <w:rPr>
          <w:rFonts w:ascii="Calibri" w:eastAsia="Malgun Gothic" w:hAnsi="Calibri" w:cs="Batang"/>
          <w:lang w:val="en-GB" w:eastAsia="ko-KR"/>
        </w:rPr>
        <w:t>,</w:t>
      </w:r>
      <w:r w:rsidR="00CB22CC">
        <w:rPr>
          <w:rFonts w:ascii="Calibri" w:eastAsia="Malgun Gothic" w:hAnsi="Calibri" w:cs="Batang"/>
          <w:lang w:val="en-GB" w:eastAsia="ko-KR"/>
        </w:rPr>
        <w:t xml:space="preserve"> the chain proceeds downstream. </w:t>
      </w:r>
      <w:r w:rsidR="00484D2A">
        <w:rPr>
          <w:rFonts w:ascii="Calibri" w:eastAsia="Malgun Gothic" w:hAnsi="Calibri" w:cs="Batang"/>
          <w:lang w:val="en-GB" w:eastAsia="ko-KR"/>
        </w:rPr>
        <w:t>The proposed IAB parent migration indication solves both issues related to indication to descendant nodes as well as buffering of RRCReconfiguration messages destined for descendant IAB nodes.</w:t>
      </w:r>
    </w:p>
    <w:p w14:paraId="76F41499" w14:textId="77777777" w:rsidR="009D7A0D" w:rsidRDefault="009D7A0D" w:rsidP="009D7A0D">
      <w:pPr>
        <w:spacing w:before="240" w:after="240"/>
        <w:rPr>
          <w:rFonts w:ascii="Calibri" w:eastAsia="Malgun Gothic" w:hAnsi="Calibri" w:cs="Batang"/>
          <w:b/>
          <w:bCs/>
          <w:lang w:val="en-GB" w:eastAsia="ko-KR"/>
        </w:rPr>
      </w:pPr>
      <w:r w:rsidRPr="00300475">
        <w:rPr>
          <w:rFonts w:ascii="Calibri" w:eastAsia="Malgun Gothic" w:hAnsi="Calibri" w:cs="Batang"/>
          <w:b/>
          <w:bCs/>
          <w:lang w:val="en-GB" w:eastAsia="ko-KR"/>
        </w:rPr>
        <w:t xml:space="preserve">Proposal 1: </w:t>
      </w:r>
      <w:r>
        <w:rPr>
          <w:rFonts w:ascii="Calibri" w:eastAsia="Malgun Gothic" w:hAnsi="Calibri" w:cs="Batang"/>
          <w:b/>
          <w:bCs/>
          <w:lang w:val="en-GB" w:eastAsia="ko-KR"/>
        </w:rPr>
        <w:t>A new F1AP-based IAB parent migration indication should be introduced, possibly as part of the CU to DU RRC Information IE to be used for indication of parent IAB node migration to descendant nodes</w:t>
      </w:r>
      <w:r w:rsidRPr="00300475">
        <w:rPr>
          <w:rFonts w:ascii="Calibri" w:eastAsia="Malgun Gothic" w:hAnsi="Calibri" w:cs="Batang"/>
          <w:b/>
          <w:bCs/>
          <w:lang w:val="en-GB" w:eastAsia="ko-KR"/>
        </w:rPr>
        <w:t>.</w:t>
      </w:r>
    </w:p>
    <w:p w14:paraId="0CC721FA" w14:textId="7C41D48B" w:rsidR="009D7A0D" w:rsidRPr="00271570" w:rsidRDefault="009D7A0D" w:rsidP="009D7A0D">
      <w:pPr>
        <w:spacing w:before="240" w:after="240"/>
        <w:rPr>
          <w:rFonts w:ascii="Calibri" w:eastAsia="Malgun Gothic" w:hAnsi="Calibri" w:cs="Batang"/>
          <w:lang w:val="en-GB" w:eastAsia="ko-KR"/>
        </w:rPr>
      </w:pPr>
      <w:r>
        <w:rPr>
          <w:rFonts w:ascii="Calibri" w:eastAsia="Malgun Gothic" w:hAnsi="Calibri" w:cs="Batang"/>
          <w:b/>
          <w:bCs/>
          <w:lang w:val="en-GB" w:eastAsia="ko-KR"/>
        </w:rPr>
        <w:t xml:space="preserve">Proposal 2: The proposed F1AP-based IAB parent migration indication should be used to trigger buffering of RRCReconfiguration at the parent IAB-DU of descendant IAB node. </w:t>
      </w:r>
      <w:r w:rsidRPr="00300475">
        <w:rPr>
          <w:rFonts w:ascii="Calibri" w:eastAsia="Malgun Gothic" w:hAnsi="Calibri" w:cs="Batang"/>
          <w:b/>
          <w:bCs/>
          <w:lang w:val="en-GB" w:eastAsia="ko-KR"/>
        </w:rPr>
        <w:t xml:space="preserve"> </w:t>
      </w:r>
    </w:p>
    <w:p w14:paraId="08E22F54" w14:textId="455E2D56" w:rsidR="004C55EE" w:rsidRPr="00C565F1" w:rsidRDefault="009D7A0D" w:rsidP="00C565F1">
      <w:pPr>
        <w:spacing w:before="240" w:after="0"/>
        <w:rPr>
          <w:rFonts w:ascii="Calibri" w:eastAsia="Malgun Gothic" w:hAnsi="Calibri" w:cs="Batang"/>
          <w:b/>
          <w:lang w:val="en-GB" w:eastAsia="ko-KR"/>
        </w:rPr>
      </w:pPr>
      <w:r>
        <w:rPr>
          <w:rFonts w:ascii="Calibri" w:eastAsia="Malgun Gothic" w:hAnsi="Calibri" w:cs="Batang"/>
          <w:b/>
          <w:lang w:val="en-GB" w:eastAsia="ko-KR"/>
        </w:rPr>
        <w:t>Proposal 3</w:t>
      </w:r>
      <w:r w:rsidRPr="00C5283A">
        <w:rPr>
          <w:rFonts w:ascii="Calibri" w:eastAsia="Malgun Gothic" w:hAnsi="Calibri" w:cs="Batang"/>
          <w:b/>
          <w:lang w:val="en-GB" w:eastAsia="ko-KR"/>
        </w:rPr>
        <w:t xml:space="preserve">: </w:t>
      </w:r>
      <w:r>
        <w:rPr>
          <w:rFonts w:ascii="Calibri" w:eastAsia="Malgun Gothic" w:hAnsi="Calibri" w:cs="Batang"/>
          <w:b/>
          <w:lang w:val="en-GB" w:eastAsia="ko-KR"/>
        </w:rPr>
        <w:t>The RRCReconfiguration message buffered at the parent IAB-DU of descendant IAB node should be delivered conditionally when the IAB-MT collocated with the parent IAB-DU of descendant IAB node receives its own RRCReconfiguration message.</w:t>
      </w:r>
    </w:p>
    <w:p w14:paraId="1D09D71B" w14:textId="78AD34E1" w:rsidR="00C565F1" w:rsidRDefault="00C565F1" w:rsidP="00C565F1">
      <w:pPr>
        <w:spacing w:before="240" w:after="240"/>
        <w:jc w:val="center"/>
        <w:rPr>
          <w:rFonts w:ascii="Calibri" w:eastAsia="Malgun Gothic" w:hAnsi="Calibri" w:cs="Batang"/>
          <w:lang w:val="en-GB" w:eastAsia="ko-KR"/>
        </w:rPr>
      </w:pPr>
      <w:r>
        <w:rPr>
          <w:rFonts w:ascii="Calibri" w:eastAsia="Malgun Gothic" w:hAnsi="Calibri" w:cs="Batang"/>
          <w:noProof/>
          <w:lang w:val="en-GB" w:eastAsia="ko-KR"/>
        </w:rPr>
        <w:drawing>
          <wp:inline distT="0" distB="0" distL="0" distR="0" wp14:anchorId="18D8B45D" wp14:editId="6AE768FD">
            <wp:extent cx="6417310" cy="2996906"/>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13969"/>
                    <a:stretch/>
                  </pic:blipFill>
                  <pic:spPr bwMode="auto">
                    <a:xfrm>
                      <a:off x="0" y="0"/>
                      <a:ext cx="6447022" cy="3010782"/>
                    </a:xfrm>
                    <a:prstGeom prst="rect">
                      <a:avLst/>
                    </a:prstGeom>
                    <a:noFill/>
                    <a:ln>
                      <a:noFill/>
                    </a:ln>
                    <a:extLst>
                      <a:ext uri="{53640926-AAD7-44D8-BBD7-CCE9431645EC}">
                        <a14:shadowObscured xmlns:a14="http://schemas.microsoft.com/office/drawing/2010/main"/>
                      </a:ext>
                    </a:extLst>
                  </pic:spPr>
                </pic:pic>
              </a:graphicData>
            </a:graphic>
          </wp:inline>
        </w:drawing>
      </w:r>
    </w:p>
    <w:p w14:paraId="30AEBF78" w14:textId="2210DD01" w:rsidR="00526A61" w:rsidRDefault="00526A61" w:rsidP="00526A61">
      <w:pPr>
        <w:spacing w:before="240" w:after="240"/>
        <w:jc w:val="center"/>
        <w:rPr>
          <w:rFonts w:ascii="Calibri" w:eastAsia="Malgun Gothic" w:hAnsi="Calibri" w:cs="Batang"/>
          <w:lang w:val="en-GB" w:eastAsia="ko-KR"/>
        </w:rPr>
      </w:pPr>
      <w:r>
        <w:rPr>
          <w:rFonts w:ascii="Calibri" w:eastAsia="Malgun Gothic" w:hAnsi="Calibri" w:cs="Batang"/>
          <w:lang w:val="en-GB" w:eastAsia="ko-KR"/>
        </w:rPr>
        <w:t>Figure 1. Example usage of IAB parent migration indication</w:t>
      </w:r>
    </w:p>
    <w:p w14:paraId="1E6D2573" w14:textId="51878847" w:rsidR="00484D2A" w:rsidRDefault="00484D2A" w:rsidP="00271570">
      <w:pPr>
        <w:spacing w:before="240" w:after="240"/>
        <w:rPr>
          <w:rFonts w:ascii="Calibri" w:eastAsia="Malgun Gothic" w:hAnsi="Calibri" w:cs="Batang"/>
          <w:lang w:val="en-GB" w:eastAsia="ko-KR"/>
        </w:rPr>
      </w:pPr>
      <w:r>
        <w:rPr>
          <w:rFonts w:ascii="Calibri" w:eastAsia="Malgun Gothic" w:hAnsi="Calibri" w:cs="Batang"/>
          <w:lang w:val="en-GB" w:eastAsia="ko-KR"/>
        </w:rPr>
        <w:t xml:space="preserve">Furthermore, as was discussed in [3], one of the advantages of </w:t>
      </w:r>
      <w:r w:rsidR="009D7A0D">
        <w:rPr>
          <w:rFonts w:ascii="Calibri" w:eastAsia="Malgun Gothic" w:hAnsi="Calibri" w:cs="Batang"/>
          <w:lang w:val="en-GB" w:eastAsia="ko-KR"/>
        </w:rPr>
        <w:t>performing reconfiguration via source path of descendant nodes conditional</w:t>
      </w:r>
      <w:r w:rsidR="00D613EA">
        <w:rPr>
          <w:rFonts w:ascii="Calibri" w:eastAsia="Malgun Gothic" w:hAnsi="Calibri" w:cs="Batang"/>
          <w:lang w:val="en-GB" w:eastAsia="ko-KR"/>
        </w:rPr>
        <w:t>ly</w:t>
      </w:r>
      <w:r w:rsidR="009D7A0D">
        <w:rPr>
          <w:rFonts w:ascii="Calibri" w:eastAsia="Malgun Gothic" w:hAnsi="Calibri" w:cs="Batang"/>
          <w:lang w:val="en-GB" w:eastAsia="ko-KR"/>
        </w:rPr>
        <w:t xml:space="preserve"> upon the successful handover </w:t>
      </w:r>
      <w:r w:rsidR="00D117FD">
        <w:rPr>
          <w:rFonts w:ascii="Calibri" w:eastAsia="Malgun Gothic" w:hAnsi="Calibri" w:cs="Batang"/>
          <w:lang w:val="en-GB" w:eastAsia="ko-KR"/>
        </w:rPr>
        <w:t>completion</w:t>
      </w:r>
      <w:r w:rsidR="009D7A0D">
        <w:rPr>
          <w:rFonts w:ascii="Calibri" w:eastAsia="Malgun Gothic" w:hAnsi="Calibri" w:cs="Batang"/>
          <w:lang w:val="en-GB" w:eastAsia="ko-KR"/>
        </w:rPr>
        <w:t xml:space="preserve"> of the migrating IAB node, is that it enables concurrent TNL migration across all tiers</w:t>
      </w:r>
      <w:r w:rsidR="00D117FD">
        <w:rPr>
          <w:rFonts w:ascii="Calibri" w:eastAsia="Malgun Gothic" w:hAnsi="Calibri" w:cs="Batang"/>
          <w:lang w:val="en-GB" w:eastAsia="ko-KR"/>
        </w:rPr>
        <w:t xml:space="preserve"> to reduce service interruption time.</w:t>
      </w:r>
    </w:p>
    <w:p w14:paraId="0B0203E6" w14:textId="5783FAE9" w:rsidR="00D613EA" w:rsidRDefault="00BC2DFF" w:rsidP="00BE1C54">
      <w:pPr>
        <w:spacing w:before="240" w:after="0"/>
        <w:rPr>
          <w:rFonts w:ascii="Calibri" w:eastAsia="Malgun Gothic" w:hAnsi="Calibri" w:cs="Batang"/>
          <w:b/>
          <w:lang w:val="en-GB" w:eastAsia="ko-KR"/>
        </w:rPr>
      </w:pPr>
      <w:r>
        <w:rPr>
          <w:rFonts w:ascii="Calibri" w:eastAsia="Malgun Gothic" w:hAnsi="Calibri" w:cs="Batang"/>
          <w:b/>
          <w:lang w:val="en-GB" w:eastAsia="ko-KR"/>
        </w:rPr>
        <w:t xml:space="preserve">Proposal 4: </w:t>
      </w:r>
      <w:r w:rsidR="00D613EA">
        <w:rPr>
          <w:rFonts w:ascii="Calibri" w:eastAsia="Malgun Gothic" w:hAnsi="Calibri" w:cs="Batang"/>
          <w:b/>
          <w:lang w:val="en-GB" w:eastAsia="ko-KR"/>
        </w:rPr>
        <w:t>RAN3 should discuss procedures to perform concurrent migration of F1 associations of descendant IAB nodes to new TNL addresses along the target path a</w:t>
      </w:r>
      <w:r>
        <w:rPr>
          <w:rFonts w:ascii="Calibri" w:eastAsia="Malgun Gothic" w:hAnsi="Calibri" w:cs="Batang"/>
          <w:b/>
          <w:lang w:val="en-GB" w:eastAsia="ko-KR"/>
        </w:rPr>
        <w:t xml:space="preserve">fter </w:t>
      </w:r>
      <w:r w:rsidR="00D613EA">
        <w:rPr>
          <w:rFonts w:ascii="Calibri" w:eastAsia="Malgun Gothic" w:hAnsi="Calibri" w:cs="Batang"/>
          <w:b/>
          <w:lang w:val="en-GB" w:eastAsia="ko-KR"/>
        </w:rPr>
        <w:t>successful</w:t>
      </w:r>
      <w:r>
        <w:rPr>
          <w:rFonts w:ascii="Calibri" w:eastAsia="Malgun Gothic" w:hAnsi="Calibri" w:cs="Batang"/>
          <w:b/>
          <w:lang w:val="en-GB" w:eastAsia="ko-KR"/>
        </w:rPr>
        <w:t xml:space="preserve"> RRC</w:t>
      </w:r>
      <w:r w:rsidR="00D613EA">
        <w:rPr>
          <w:rFonts w:ascii="Calibri" w:eastAsia="Malgun Gothic" w:hAnsi="Calibri" w:cs="Batang"/>
          <w:b/>
          <w:lang w:val="en-GB" w:eastAsia="ko-KR"/>
        </w:rPr>
        <w:t xml:space="preserve"> r</w:t>
      </w:r>
      <w:r>
        <w:rPr>
          <w:rFonts w:ascii="Calibri" w:eastAsia="Malgun Gothic" w:hAnsi="Calibri" w:cs="Batang"/>
          <w:b/>
          <w:lang w:val="en-GB" w:eastAsia="ko-KR"/>
        </w:rPr>
        <w:t xml:space="preserve">econfiguration </w:t>
      </w:r>
      <w:r w:rsidR="00D613EA">
        <w:rPr>
          <w:rFonts w:ascii="Calibri" w:eastAsia="Malgun Gothic" w:hAnsi="Calibri" w:cs="Batang"/>
          <w:b/>
          <w:lang w:val="en-GB" w:eastAsia="ko-KR"/>
        </w:rPr>
        <w:t>of descendant IAB nodes</w:t>
      </w:r>
      <w:r w:rsidR="00D117FD">
        <w:rPr>
          <w:rFonts w:ascii="Calibri" w:eastAsia="Malgun Gothic" w:hAnsi="Calibri" w:cs="Batang"/>
          <w:b/>
          <w:lang w:val="en-GB" w:eastAsia="ko-KR"/>
        </w:rPr>
        <w:t xml:space="preserve"> to reduce service interruption </w:t>
      </w:r>
      <w:r w:rsidR="00105C11">
        <w:rPr>
          <w:rFonts w:ascii="Calibri" w:eastAsia="Malgun Gothic" w:hAnsi="Calibri" w:cs="Batang"/>
          <w:b/>
          <w:lang w:val="en-GB" w:eastAsia="ko-KR"/>
        </w:rPr>
        <w:t>time</w:t>
      </w:r>
      <w:r w:rsidR="00D613EA">
        <w:rPr>
          <w:rFonts w:ascii="Calibri" w:eastAsia="Malgun Gothic" w:hAnsi="Calibri" w:cs="Batang"/>
          <w:b/>
          <w:lang w:val="en-GB" w:eastAsia="ko-KR"/>
        </w:rPr>
        <w:t>.</w:t>
      </w:r>
      <w:r w:rsidR="00444672">
        <w:rPr>
          <w:rFonts w:ascii="Calibri" w:eastAsia="Malgun Gothic" w:hAnsi="Calibri" w:cs="Batang"/>
          <w:b/>
          <w:lang w:val="en-GB" w:eastAsia="ko-KR"/>
        </w:rPr>
        <w:t xml:space="preserve"> </w:t>
      </w:r>
    </w:p>
    <w:p w14:paraId="6922A65F"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lastRenderedPageBreak/>
        <w:t>Conclusion</w:t>
      </w:r>
    </w:p>
    <w:p w14:paraId="71556A7E" w14:textId="0C8B06C9" w:rsidR="004A7002" w:rsidRPr="001B2250" w:rsidRDefault="00A92669" w:rsidP="003C7FBF">
      <w:pPr>
        <w:pStyle w:val="maintext"/>
        <w:spacing w:line="240" w:lineRule="auto"/>
        <w:ind w:firstLineChars="0" w:firstLine="0"/>
        <w:rPr>
          <w:rFonts w:ascii="Calibri" w:hAnsi="Calibri"/>
        </w:rPr>
      </w:pPr>
      <w:r>
        <w:rPr>
          <w:rFonts w:ascii="Calibri" w:hAnsi="Calibri"/>
        </w:rPr>
        <w:t>T</w:t>
      </w:r>
      <w:r w:rsidR="00F82906">
        <w:rPr>
          <w:rFonts w:ascii="Calibri" w:hAnsi="Calibri"/>
        </w:rPr>
        <w:t xml:space="preserve">his </w:t>
      </w:r>
      <w:r w:rsidR="0071107A">
        <w:rPr>
          <w:rFonts w:ascii="Calibri" w:hAnsi="Calibri"/>
        </w:rPr>
        <w:t>contribution discussed service interruption reduction for intra-node IAB node migration with descendant IAB nodes. The following proposals were provided for consideration</w:t>
      </w:r>
      <w:r w:rsidR="00F82906">
        <w:rPr>
          <w:rFonts w:ascii="Calibri" w:hAnsi="Calibri"/>
        </w:rPr>
        <w:t>:</w:t>
      </w:r>
      <w:r w:rsidR="004A7002">
        <w:rPr>
          <w:rFonts w:ascii="Calibri" w:hAnsi="Calibri"/>
        </w:rPr>
        <w:t xml:space="preserve"> </w:t>
      </w:r>
    </w:p>
    <w:p w14:paraId="0DF78027" w14:textId="77777777" w:rsidR="0071107A" w:rsidRDefault="0071107A" w:rsidP="0071107A">
      <w:pPr>
        <w:spacing w:before="240" w:after="240"/>
        <w:rPr>
          <w:rFonts w:ascii="Calibri" w:eastAsia="Malgun Gothic" w:hAnsi="Calibri" w:cs="Batang"/>
          <w:b/>
          <w:bCs/>
          <w:lang w:val="en-GB" w:eastAsia="ko-KR"/>
        </w:rPr>
      </w:pPr>
      <w:r w:rsidRPr="00300475">
        <w:rPr>
          <w:rFonts w:ascii="Calibri" w:eastAsia="Malgun Gothic" w:hAnsi="Calibri" w:cs="Batang"/>
          <w:b/>
          <w:bCs/>
          <w:lang w:val="en-GB" w:eastAsia="ko-KR"/>
        </w:rPr>
        <w:t xml:space="preserve">Proposal 1: </w:t>
      </w:r>
      <w:r>
        <w:rPr>
          <w:rFonts w:ascii="Calibri" w:eastAsia="Malgun Gothic" w:hAnsi="Calibri" w:cs="Batang"/>
          <w:b/>
          <w:bCs/>
          <w:lang w:val="en-GB" w:eastAsia="ko-KR"/>
        </w:rPr>
        <w:t>A new F1AP-based IAB parent migration indication should be introduced, possibly as part of the CU to DU RRC Information IE to be used for indication of parent IAB node migration to descendant nodes</w:t>
      </w:r>
      <w:r w:rsidRPr="00300475">
        <w:rPr>
          <w:rFonts w:ascii="Calibri" w:eastAsia="Malgun Gothic" w:hAnsi="Calibri" w:cs="Batang"/>
          <w:b/>
          <w:bCs/>
          <w:lang w:val="en-GB" w:eastAsia="ko-KR"/>
        </w:rPr>
        <w:t>.</w:t>
      </w:r>
    </w:p>
    <w:p w14:paraId="6AFC220C" w14:textId="31AEBF40" w:rsidR="0071107A" w:rsidRPr="00271570" w:rsidRDefault="0071107A" w:rsidP="0071107A">
      <w:pPr>
        <w:spacing w:before="240" w:after="240"/>
        <w:rPr>
          <w:rFonts w:ascii="Calibri" w:eastAsia="Malgun Gothic" w:hAnsi="Calibri" w:cs="Batang"/>
          <w:lang w:val="en-GB" w:eastAsia="ko-KR"/>
        </w:rPr>
      </w:pPr>
      <w:r>
        <w:rPr>
          <w:rFonts w:ascii="Calibri" w:eastAsia="Malgun Gothic" w:hAnsi="Calibri" w:cs="Batang"/>
          <w:b/>
          <w:bCs/>
          <w:lang w:val="en-GB" w:eastAsia="ko-KR"/>
        </w:rPr>
        <w:t xml:space="preserve">Proposal 2: The proposed F1AP-based IAB parent migration indication should be used to trigger buffering of RRCReconfiguration at the parent </w:t>
      </w:r>
      <w:r w:rsidR="009D7A0D">
        <w:rPr>
          <w:rFonts w:ascii="Calibri" w:eastAsia="Malgun Gothic" w:hAnsi="Calibri" w:cs="Batang"/>
          <w:b/>
          <w:bCs/>
          <w:lang w:val="en-GB" w:eastAsia="ko-KR"/>
        </w:rPr>
        <w:t>IAB-DU</w:t>
      </w:r>
      <w:r>
        <w:rPr>
          <w:rFonts w:ascii="Calibri" w:eastAsia="Malgun Gothic" w:hAnsi="Calibri" w:cs="Batang"/>
          <w:b/>
          <w:bCs/>
          <w:lang w:val="en-GB" w:eastAsia="ko-KR"/>
        </w:rPr>
        <w:t xml:space="preserve"> of descendant IAB node. </w:t>
      </w:r>
      <w:r w:rsidRPr="00300475">
        <w:rPr>
          <w:rFonts w:ascii="Calibri" w:eastAsia="Malgun Gothic" w:hAnsi="Calibri" w:cs="Batang"/>
          <w:b/>
          <w:bCs/>
          <w:lang w:val="en-GB" w:eastAsia="ko-KR"/>
        </w:rPr>
        <w:t xml:space="preserve"> </w:t>
      </w:r>
    </w:p>
    <w:p w14:paraId="65B303F1" w14:textId="75D36906" w:rsidR="0071107A" w:rsidRDefault="0071107A" w:rsidP="0071107A">
      <w:pPr>
        <w:spacing w:before="240" w:after="0"/>
        <w:rPr>
          <w:rFonts w:ascii="Calibri" w:eastAsia="Malgun Gothic" w:hAnsi="Calibri" w:cs="Batang"/>
          <w:b/>
          <w:lang w:val="en-GB" w:eastAsia="ko-KR"/>
        </w:rPr>
      </w:pPr>
      <w:r>
        <w:rPr>
          <w:rFonts w:ascii="Calibri" w:eastAsia="Malgun Gothic" w:hAnsi="Calibri" w:cs="Batang"/>
          <w:b/>
          <w:lang w:val="en-GB" w:eastAsia="ko-KR"/>
        </w:rPr>
        <w:t>Proposal 3</w:t>
      </w:r>
      <w:r w:rsidRPr="00C5283A">
        <w:rPr>
          <w:rFonts w:ascii="Calibri" w:eastAsia="Malgun Gothic" w:hAnsi="Calibri" w:cs="Batang"/>
          <w:b/>
          <w:lang w:val="en-GB" w:eastAsia="ko-KR"/>
        </w:rPr>
        <w:t xml:space="preserve">: </w:t>
      </w:r>
      <w:r>
        <w:rPr>
          <w:rFonts w:ascii="Calibri" w:eastAsia="Malgun Gothic" w:hAnsi="Calibri" w:cs="Batang"/>
          <w:b/>
          <w:lang w:val="en-GB" w:eastAsia="ko-KR"/>
        </w:rPr>
        <w:t xml:space="preserve">The RRCReconfiguration message buffered at the parent </w:t>
      </w:r>
      <w:r w:rsidR="009D7A0D">
        <w:rPr>
          <w:rFonts w:ascii="Calibri" w:eastAsia="Malgun Gothic" w:hAnsi="Calibri" w:cs="Batang"/>
          <w:b/>
          <w:lang w:val="en-GB" w:eastAsia="ko-KR"/>
        </w:rPr>
        <w:t>IAB-DU</w:t>
      </w:r>
      <w:r>
        <w:rPr>
          <w:rFonts w:ascii="Calibri" w:eastAsia="Malgun Gothic" w:hAnsi="Calibri" w:cs="Batang"/>
          <w:b/>
          <w:lang w:val="en-GB" w:eastAsia="ko-KR"/>
        </w:rPr>
        <w:t xml:space="preserve"> of descendant IAB node should be released and delivered when the </w:t>
      </w:r>
      <w:r w:rsidR="009D7A0D">
        <w:rPr>
          <w:rFonts w:ascii="Calibri" w:eastAsia="Malgun Gothic" w:hAnsi="Calibri" w:cs="Batang"/>
          <w:b/>
          <w:lang w:val="en-GB" w:eastAsia="ko-KR"/>
        </w:rPr>
        <w:t>IAB-MT</w:t>
      </w:r>
      <w:r>
        <w:rPr>
          <w:rFonts w:ascii="Calibri" w:eastAsia="Malgun Gothic" w:hAnsi="Calibri" w:cs="Batang"/>
          <w:b/>
          <w:lang w:val="en-GB" w:eastAsia="ko-KR"/>
        </w:rPr>
        <w:t xml:space="preserve"> collocated with the parent </w:t>
      </w:r>
      <w:r w:rsidR="009D7A0D">
        <w:rPr>
          <w:rFonts w:ascii="Calibri" w:eastAsia="Malgun Gothic" w:hAnsi="Calibri" w:cs="Batang"/>
          <w:b/>
          <w:lang w:val="en-GB" w:eastAsia="ko-KR"/>
        </w:rPr>
        <w:t>IAB-DU</w:t>
      </w:r>
      <w:r>
        <w:rPr>
          <w:rFonts w:ascii="Calibri" w:eastAsia="Malgun Gothic" w:hAnsi="Calibri" w:cs="Batang"/>
          <w:b/>
          <w:lang w:val="en-GB" w:eastAsia="ko-KR"/>
        </w:rPr>
        <w:t xml:space="preserve"> of descendant IAB node receives its own RRCReconfiguration message.</w:t>
      </w:r>
    </w:p>
    <w:p w14:paraId="5FC28A81" w14:textId="77777777" w:rsidR="00F4651F" w:rsidRDefault="00F4651F" w:rsidP="00F4651F">
      <w:pPr>
        <w:spacing w:before="240" w:after="0"/>
        <w:rPr>
          <w:rFonts w:ascii="Calibri" w:eastAsia="Malgun Gothic" w:hAnsi="Calibri" w:cs="Batang"/>
          <w:b/>
          <w:lang w:val="en-GB" w:eastAsia="ko-KR"/>
        </w:rPr>
      </w:pPr>
      <w:r>
        <w:rPr>
          <w:rFonts w:ascii="Calibri" w:eastAsia="Malgun Gothic" w:hAnsi="Calibri" w:cs="Batang"/>
          <w:b/>
          <w:lang w:val="en-GB" w:eastAsia="ko-KR"/>
        </w:rPr>
        <w:t xml:space="preserve">Proposal 4: RAN3 should discuss procedures to perform concurrent migration of F1 associations of descendant IAB nodes to new TNL addresses along the target path after successful RRC reconfiguration of descendant IAB nodes to reduce service interruption time. </w:t>
      </w:r>
    </w:p>
    <w:p w14:paraId="3FDE320F" w14:textId="4774AE04" w:rsidR="000D25E8" w:rsidRPr="003B2F05" w:rsidRDefault="000D25E8" w:rsidP="000D25E8">
      <w:pPr>
        <w:rPr>
          <w:rFonts w:ascii="Calibri" w:eastAsia="Malgun Gothic" w:hAnsi="Calibri" w:cs="Batang"/>
          <w:b/>
          <w:lang w:val="en-GB" w:eastAsia="ko-KR"/>
        </w:rPr>
      </w:pPr>
    </w:p>
    <w:p w14:paraId="4A334E4D" w14:textId="77777777" w:rsidR="00B460A0" w:rsidRDefault="00B460A0" w:rsidP="00B460A0">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References</w:t>
      </w:r>
    </w:p>
    <w:p w14:paraId="428334F0" w14:textId="031C7EED" w:rsidR="00FB4A6D" w:rsidRDefault="00FB4A6D" w:rsidP="00FB4A6D">
      <w:pPr>
        <w:pStyle w:val="2222"/>
        <w:numPr>
          <w:ilvl w:val="0"/>
          <w:numId w:val="5"/>
        </w:numPr>
        <w:spacing w:after="120" w:line="288" w:lineRule="auto"/>
        <w:ind w:left="360" w:firstLineChars="0"/>
        <w:jc w:val="left"/>
        <w:rPr>
          <w:rFonts w:cs="Times New Roman"/>
          <w:lang w:eastAsia="ko-KR"/>
        </w:rPr>
      </w:pPr>
      <w:r w:rsidRPr="00FB7009">
        <w:rPr>
          <w:rFonts w:cs="Times New Roman"/>
          <w:lang w:eastAsia="ko-KR"/>
        </w:rPr>
        <w:t>R</w:t>
      </w:r>
      <w:r w:rsidR="00A12BE1">
        <w:rPr>
          <w:rFonts w:cs="Times New Roman"/>
          <w:lang w:eastAsia="ko-KR"/>
        </w:rPr>
        <w:t>3-207165</w:t>
      </w:r>
      <w:r>
        <w:rPr>
          <w:rFonts w:cs="Times New Roman"/>
          <w:lang w:eastAsia="ko-KR"/>
        </w:rPr>
        <w:t xml:space="preserve">, </w:t>
      </w:r>
      <w:r w:rsidR="00A12BE1">
        <w:rPr>
          <w:rFonts w:cs="Times New Roman"/>
          <w:lang w:eastAsia="ko-KR"/>
        </w:rPr>
        <w:t>Summary of Offline Discussion on Reduction of Service Interruption</w:t>
      </w:r>
      <w:r>
        <w:rPr>
          <w:rFonts w:cs="Times New Roman"/>
          <w:lang w:eastAsia="ko-KR"/>
        </w:rPr>
        <w:t>,</w:t>
      </w:r>
      <w:r w:rsidR="00A12BE1">
        <w:rPr>
          <w:rFonts w:cs="Times New Roman"/>
          <w:lang w:eastAsia="ko-KR"/>
        </w:rPr>
        <w:t xml:space="preserve"> Nokia</w:t>
      </w:r>
      <w:r>
        <w:rPr>
          <w:rFonts w:cs="Times New Roman"/>
          <w:lang w:eastAsia="ko-KR"/>
        </w:rPr>
        <w:t xml:space="preserve"> </w:t>
      </w:r>
    </w:p>
    <w:p w14:paraId="6966D1E7" w14:textId="14DB3FC0" w:rsidR="00477F9F" w:rsidRPr="00940827" w:rsidRDefault="00A12BE1" w:rsidP="00C408C7">
      <w:pPr>
        <w:pStyle w:val="2222"/>
        <w:numPr>
          <w:ilvl w:val="0"/>
          <w:numId w:val="5"/>
        </w:numPr>
        <w:spacing w:after="120" w:line="288" w:lineRule="auto"/>
        <w:ind w:left="360" w:firstLineChars="0"/>
        <w:jc w:val="left"/>
        <w:rPr>
          <w:rFonts w:cs="Times New Roman"/>
          <w:lang w:eastAsia="ko-KR"/>
        </w:rPr>
      </w:pPr>
      <w:r w:rsidRPr="00A12BE1">
        <w:rPr>
          <w:lang w:eastAsia="ko-KR"/>
        </w:rPr>
        <w:t>R3-206000, Discussion on service interruption reduction for IAB (Samsung)</w:t>
      </w:r>
    </w:p>
    <w:p w14:paraId="5FCF6E39" w14:textId="77777777" w:rsidR="00940827" w:rsidRDefault="00940827" w:rsidP="00940827">
      <w:pPr>
        <w:pStyle w:val="2222"/>
        <w:numPr>
          <w:ilvl w:val="0"/>
          <w:numId w:val="5"/>
        </w:numPr>
        <w:spacing w:after="120" w:line="288" w:lineRule="auto"/>
        <w:ind w:left="360" w:firstLineChars="0"/>
        <w:jc w:val="left"/>
        <w:rPr>
          <w:rFonts w:cs="Times New Roman"/>
          <w:lang w:eastAsia="ko-KR"/>
        </w:rPr>
      </w:pPr>
      <w:r w:rsidRPr="00A12BE1">
        <w:rPr>
          <w:rFonts w:cs="Times New Roman"/>
          <w:lang w:eastAsia="ko-KR"/>
        </w:rPr>
        <w:t>R3-206257, Interruption time reduction for Intra-donor IAB-node migration (Qualcomm Incorporated)</w:t>
      </w:r>
    </w:p>
    <w:p w14:paraId="3A295C87" w14:textId="77777777" w:rsidR="00940827" w:rsidRPr="00A12BE1" w:rsidRDefault="00940827" w:rsidP="00940827">
      <w:pPr>
        <w:pStyle w:val="2222"/>
        <w:spacing w:after="120" w:line="288" w:lineRule="auto"/>
        <w:ind w:firstLineChars="0" w:firstLine="0"/>
        <w:jc w:val="left"/>
        <w:rPr>
          <w:rFonts w:cs="Times New Roman"/>
          <w:lang w:eastAsia="ko-KR"/>
        </w:rPr>
      </w:pPr>
    </w:p>
    <w:sectPr w:rsidR="00940827" w:rsidRPr="00A12BE1"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5824D" w14:textId="77777777" w:rsidR="005665F6" w:rsidRDefault="005665F6" w:rsidP="00424124">
      <w:pPr>
        <w:spacing w:before="0" w:after="0"/>
      </w:pPr>
      <w:r>
        <w:separator/>
      </w:r>
    </w:p>
  </w:endnote>
  <w:endnote w:type="continuationSeparator" w:id="0">
    <w:p w14:paraId="3438245A" w14:textId="77777777" w:rsidR="005665F6" w:rsidRDefault="005665F6"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7E4EF" w14:textId="77777777" w:rsidR="005665F6" w:rsidRDefault="005665F6" w:rsidP="00424124">
      <w:pPr>
        <w:spacing w:before="0" w:after="0"/>
      </w:pPr>
      <w:r>
        <w:separator/>
      </w:r>
    </w:p>
  </w:footnote>
  <w:footnote w:type="continuationSeparator" w:id="0">
    <w:p w14:paraId="0DDFEA1E" w14:textId="77777777" w:rsidR="005665F6" w:rsidRDefault="005665F6"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D1047"/>
    <w:multiLevelType w:val="hybridMultilevel"/>
    <w:tmpl w:val="46A21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166510"/>
    <w:multiLevelType w:val="hybridMultilevel"/>
    <w:tmpl w:val="25FC8580"/>
    <w:lvl w:ilvl="0" w:tplc="A7D2BE0A">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0409000F">
      <w:start w:val="1"/>
      <w:numFmt w:val="bullet"/>
      <w:pStyle w:val="Agreement"/>
      <w:lvlText w:val=""/>
      <w:lvlJc w:val="left"/>
      <w:pPr>
        <w:tabs>
          <w:tab w:val="num" w:pos="1080"/>
        </w:tabs>
        <w:ind w:left="1080" w:hanging="360"/>
      </w:pPr>
      <w:rPr>
        <w:rFonts w:ascii="Symbol" w:hAnsi="Symbol" w:hint="default"/>
        <w:b/>
        <w:i w:val="0"/>
        <w:color w:val="auto"/>
        <w:sz w:val="22"/>
      </w:rPr>
    </w:lvl>
    <w:lvl w:ilvl="1" w:tplc="D602B2F4">
      <w:start w:val="1"/>
      <w:numFmt w:val="bullet"/>
      <w:lvlText w:val="o"/>
      <w:lvlJc w:val="left"/>
      <w:pPr>
        <w:tabs>
          <w:tab w:val="num" w:pos="901"/>
        </w:tabs>
        <w:ind w:left="901" w:hanging="360"/>
      </w:pPr>
      <w:rPr>
        <w:rFonts w:ascii="Courier New" w:hAnsi="Courier New" w:cs="Courier New" w:hint="default"/>
      </w:rPr>
    </w:lvl>
    <w:lvl w:ilvl="2" w:tplc="0409001B">
      <w:start w:val="1"/>
      <w:numFmt w:val="bullet"/>
      <w:lvlText w:val=""/>
      <w:lvlJc w:val="left"/>
      <w:pPr>
        <w:tabs>
          <w:tab w:val="num" w:pos="1621"/>
        </w:tabs>
        <w:ind w:left="1621" w:hanging="360"/>
      </w:pPr>
      <w:rPr>
        <w:rFonts w:ascii="Wingdings" w:hAnsi="Wingdings" w:hint="default"/>
      </w:rPr>
    </w:lvl>
    <w:lvl w:ilvl="3" w:tplc="0409000F" w:tentative="1">
      <w:start w:val="1"/>
      <w:numFmt w:val="bullet"/>
      <w:lvlText w:val=""/>
      <w:lvlJc w:val="left"/>
      <w:pPr>
        <w:tabs>
          <w:tab w:val="num" w:pos="2341"/>
        </w:tabs>
        <w:ind w:left="2341" w:hanging="360"/>
      </w:pPr>
      <w:rPr>
        <w:rFonts w:ascii="Symbol" w:hAnsi="Symbol" w:hint="default"/>
      </w:rPr>
    </w:lvl>
    <w:lvl w:ilvl="4" w:tplc="04090019" w:tentative="1">
      <w:start w:val="1"/>
      <w:numFmt w:val="bullet"/>
      <w:lvlText w:val="o"/>
      <w:lvlJc w:val="left"/>
      <w:pPr>
        <w:tabs>
          <w:tab w:val="num" w:pos="3061"/>
        </w:tabs>
        <w:ind w:left="3061" w:hanging="360"/>
      </w:pPr>
      <w:rPr>
        <w:rFonts w:ascii="Courier New" w:hAnsi="Courier New" w:cs="Courier New" w:hint="default"/>
      </w:rPr>
    </w:lvl>
    <w:lvl w:ilvl="5" w:tplc="0409001B" w:tentative="1">
      <w:start w:val="1"/>
      <w:numFmt w:val="bullet"/>
      <w:lvlText w:val=""/>
      <w:lvlJc w:val="left"/>
      <w:pPr>
        <w:tabs>
          <w:tab w:val="num" w:pos="3781"/>
        </w:tabs>
        <w:ind w:left="3781" w:hanging="360"/>
      </w:pPr>
      <w:rPr>
        <w:rFonts w:ascii="Wingdings" w:hAnsi="Wingdings" w:hint="default"/>
      </w:rPr>
    </w:lvl>
    <w:lvl w:ilvl="6" w:tplc="0409000F" w:tentative="1">
      <w:start w:val="1"/>
      <w:numFmt w:val="bullet"/>
      <w:lvlText w:val=""/>
      <w:lvlJc w:val="left"/>
      <w:pPr>
        <w:tabs>
          <w:tab w:val="num" w:pos="4501"/>
        </w:tabs>
        <w:ind w:left="4501" w:hanging="360"/>
      </w:pPr>
      <w:rPr>
        <w:rFonts w:ascii="Symbol" w:hAnsi="Symbol" w:hint="default"/>
      </w:rPr>
    </w:lvl>
    <w:lvl w:ilvl="7" w:tplc="04090019" w:tentative="1">
      <w:start w:val="1"/>
      <w:numFmt w:val="bullet"/>
      <w:lvlText w:val="o"/>
      <w:lvlJc w:val="left"/>
      <w:pPr>
        <w:tabs>
          <w:tab w:val="num" w:pos="5221"/>
        </w:tabs>
        <w:ind w:left="5221" w:hanging="360"/>
      </w:pPr>
      <w:rPr>
        <w:rFonts w:ascii="Courier New" w:hAnsi="Courier New" w:cs="Courier New" w:hint="default"/>
      </w:rPr>
    </w:lvl>
    <w:lvl w:ilvl="8" w:tplc="0409001B"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8"/>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6"/>
  </w:num>
  <w:num w:numId="8">
    <w:abstractNumId w:val="16"/>
  </w:num>
  <w:num w:numId="9">
    <w:abstractNumId w:val="2"/>
  </w:num>
  <w:num w:numId="10">
    <w:abstractNumId w:val="3"/>
  </w:num>
  <w:num w:numId="11">
    <w:abstractNumId w:val="19"/>
  </w:num>
  <w:num w:numId="12">
    <w:abstractNumId w:val="10"/>
  </w:num>
  <w:num w:numId="13">
    <w:abstractNumId w:val="11"/>
  </w:num>
  <w:num w:numId="14">
    <w:abstractNumId w:val="26"/>
  </w:num>
  <w:num w:numId="15">
    <w:abstractNumId w:val="1"/>
  </w:num>
  <w:num w:numId="16">
    <w:abstractNumId w:val="23"/>
  </w:num>
  <w:num w:numId="17">
    <w:abstractNumId w:val="17"/>
  </w:num>
  <w:num w:numId="18">
    <w:abstractNumId w:val="14"/>
  </w:num>
  <w:num w:numId="19">
    <w:abstractNumId w:val="5"/>
  </w:num>
  <w:num w:numId="20">
    <w:abstractNumId w:val="24"/>
  </w:num>
  <w:num w:numId="21">
    <w:abstractNumId w:val="22"/>
  </w:num>
  <w:num w:numId="22">
    <w:abstractNumId w:val="25"/>
  </w:num>
  <w:num w:numId="23">
    <w:abstractNumId w:val="7"/>
  </w:num>
  <w:num w:numId="24">
    <w:abstractNumId w:val="21"/>
  </w:num>
  <w:num w:numId="25">
    <w:abstractNumId w:val="12"/>
  </w:num>
  <w:num w:numId="26">
    <w:abstractNumId w:val="22"/>
  </w:num>
  <w:num w:numId="27">
    <w:abstractNumId w:val="13"/>
  </w:num>
  <w:num w:numId="28">
    <w:abstractNumId w:val="9"/>
  </w:num>
  <w:num w:numId="29">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21D"/>
    <w:rsid w:val="00004522"/>
    <w:rsid w:val="000052FF"/>
    <w:rsid w:val="00005D82"/>
    <w:rsid w:val="0001485D"/>
    <w:rsid w:val="000149EC"/>
    <w:rsid w:val="00020F1A"/>
    <w:rsid w:val="00024B67"/>
    <w:rsid w:val="00027A39"/>
    <w:rsid w:val="00032D47"/>
    <w:rsid w:val="000337FC"/>
    <w:rsid w:val="00042177"/>
    <w:rsid w:val="000440EF"/>
    <w:rsid w:val="00044947"/>
    <w:rsid w:val="000463E4"/>
    <w:rsid w:val="000470F3"/>
    <w:rsid w:val="00051B4B"/>
    <w:rsid w:val="00051EBB"/>
    <w:rsid w:val="0005289E"/>
    <w:rsid w:val="0005353F"/>
    <w:rsid w:val="000550BC"/>
    <w:rsid w:val="00057E9B"/>
    <w:rsid w:val="00061D16"/>
    <w:rsid w:val="000643FA"/>
    <w:rsid w:val="00066F6F"/>
    <w:rsid w:val="00070728"/>
    <w:rsid w:val="000730C9"/>
    <w:rsid w:val="00073B76"/>
    <w:rsid w:val="00074609"/>
    <w:rsid w:val="0007575F"/>
    <w:rsid w:val="00075B2C"/>
    <w:rsid w:val="00075FD1"/>
    <w:rsid w:val="00077712"/>
    <w:rsid w:val="0008364D"/>
    <w:rsid w:val="00085800"/>
    <w:rsid w:val="000865E3"/>
    <w:rsid w:val="0009041F"/>
    <w:rsid w:val="000917C5"/>
    <w:rsid w:val="00094DA3"/>
    <w:rsid w:val="00097DC6"/>
    <w:rsid w:val="000A36A9"/>
    <w:rsid w:val="000B0720"/>
    <w:rsid w:val="000B58AF"/>
    <w:rsid w:val="000B6D99"/>
    <w:rsid w:val="000C02B7"/>
    <w:rsid w:val="000C0533"/>
    <w:rsid w:val="000C05C0"/>
    <w:rsid w:val="000C21D0"/>
    <w:rsid w:val="000C57B9"/>
    <w:rsid w:val="000D176F"/>
    <w:rsid w:val="000D25E8"/>
    <w:rsid w:val="000D342A"/>
    <w:rsid w:val="000D38DC"/>
    <w:rsid w:val="000E182B"/>
    <w:rsid w:val="000E2283"/>
    <w:rsid w:val="000E29D8"/>
    <w:rsid w:val="000E55D6"/>
    <w:rsid w:val="000E7524"/>
    <w:rsid w:val="000F259D"/>
    <w:rsid w:val="000F6CCA"/>
    <w:rsid w:val="0010303E"/>
    <w:rsid w:val="00105C11"/>
    <w:rsid w:val="001119AB"/>
    <w:rsid w:val="0011327D"/>
    <w:rsid w:val="001139B2"/>
    <w:rsid w:val="00114145"/>
    <w:rsid w:val="0011588C"/>
    <w:rsid w:val="00116DA6"/>
    <w:rsid w:val="001279BC"/>
    <w:rsid w:val="00134C07"/>
    <w:rsid w:val="001356D6"/>
    <w:rsid w:val="00137E15"/>
    <w:rsid w:val="001417A8"/>
    <w:rsid w:val="00147E95"/>
    <w:rsid w:val="00153793"/>
    <w:rsid w:val="001615F4"/>
    <w:rsid w:val="00162B42"/>
    <w:rsid w:val="00163ABC"/>
    <w:rsid w:val="00164A98"/>
    <w:rsid w:val="00172302"/>
    <w:rsid w:val="00172743"/>
    <w:rsid w:val="00175301"/>
    <w:rsid w:val="00184E81"/>
    <w:rsid w:val="001901AC"/>
    <w:rsid w:val="00190605"/>
    <w:rsid w:val="00196027"/>
    <w:rsid w:val="001A5A68"/>
    <w:rsid w:val="001A6212"/>
    <w:rsid w:val="001A75E0"/>
    <w:rsid w:val="001B1E40"/>
    <w:rsid w:val="001B2705"/>
    <w:rsid w:val="001B2D2A"/>
    <w:rsid w:val="001B39F1"/>
    <w:rsid w:val="001B3B59"/>
    <w:rsid w:val="001B7305"/>
    <w:rsid w:val="001B731B"/>
    <w:rsid w:val="001C37D5"/>
    <w:rsid w:val="001C4ACE"/>
    <w:rsid w:val="001C699C"/>
    <w:rsid w:val="001D5128"/>
    <w:rsid w:val="001E0196"/>
    <w:rsid w:val="001E02F3"/>
    <w:rsid w:val="001E0CE1"/>
    <w:rsid w:val="001E404E"/>
    <w:rsid w:val="001E5602"/>
    <w:rsid w:val="001E58CC"/>
    <w:rsid w:val="001F02DD"/>
    <w:rsid w:val="001F2A01"/>
    <w:rsid w:val="001F59ED"/>
    <w:rsid w:val="002013B3"/>
    <w:rsid w:val="00201870"/>
    <w:rsid w:val="002042FF"/>
    <w:rsid w:val="00205D2E"/>
    <w:rsid w:val="00207678"/>
    <w:rsid w:val="00211D37"/>
    <w:rsid w:val="00212204"/>
    <w:rsid w:val="0021262A"/>
    <w:rsid w:val="00216763"/>
    <w:rsid w:val="0022193E"/>
    <w:rsid w:val="00222269"/>
    <w:rsid w:val="00222811"/>
    <w:rsid w:val="00222D3A"/>
    <w:rsid w:val="00225464"/>
    <w:rsid w:val="00233D70"/>
    <w:rsid w:val="00235373"/>
    <w:rsid w:val="00235F55"/>
    <w:rsid w:val="00240145"/>
    <w:rsid w:val="00240506"/>
    <w:rsid w:val="00242080"/>
    <w:rsid w:val="00246D61"/>
    <w:rsid w:val="00247511"/>
    <w:rsid w:val="0024786A"/>
    <w:rsid w:val="0025058B"/>
    <w:rsid w:val="00255E63"/>
    <w:rsid w:val="00262116"/>
    <w:rsid w:val="002641FE"/>
    <w:rsid w:val="00265254"/>
    <w:rsid w:val="00267362"/>
    <w:rsid w:val="00271570"/>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5E19"/>
    <w:rsid w:val="002B6E52"/>
    <w:rsid w:val="002C0488"/>
    <w:rsid w:val="002C4097"/>
    <w:rsid w:val="002C594E"/>
    <w:rsid w:val="002D3D42"/>
    <w:rsid w:val="002D479B"/>
    <w:rsid w:val="002D6EC9"/>
    <w:rsid w:val="002D787B"/>
    <w:rsid w:val="002E188B"/>
    <w:rsid w:val="002E65B5"/>
    <w:rsid w:val="002F1C6C"/>
    <w:rsid w:val="002F1CDD"/>
    <w:rsid w:val="002F2F26"/>
    <w:rsid w:val="002F4C25"/>
    <w:rsid w:val="00300129"/>
    <w:rsid w:val="00300475"/>
    <w:rsid w:val="003141F5"/>
    <w:rsid w:val="00314EA1"/>
    <w:rsid w:val="00315566"/>
    <w:rsid w:val="00315DC4"/>
    <w:rsid w:val="00317020"/>
    <w:rsid w:val="00320B4D"/>
    <w:rsid w:val="0032179D"/>
    <w:rsid w:val="00326FF6"/>
    <w:rsid w:val="00327A22"/>
    <w:rsid w:val="00332BB8"/>
    <w:rsid w:val="00333C59"/>
    <w:rsid w:val="0033513A"/>
    <w:rsid w:val="00342130"/>
    <w:rsid w:val="00346605"/>
    <w:rsid w:val="00347824"/>
    <w:rsid w:val="0035318F"/>
    <w:rsid w:val="00354C01"/>
    <w:rsid w:val="00356F4E"/>
    <w:rsid w:val="0036306A"/>
    <w:rsid w:val="00365A78"/>
    <w:rsid w:val="00372594"/>
    <w:rsid w:val="00372651"/>
    <w:rsid w:val="003727DB"/>
    <w:rsid w:val="00385177"/>
    <w:rsid w:val="00385522"/>
    <w:rsid w:val="00386642"/>
    <w:rsid w:val="00392176"/>
    <w:rsid w:val="003921D6"/>
    <w:rsid w:val="003947DB"/>
    <w:rsid w:val="00397058"/>
    <w:rsid w:val="003A0594"/>
    <w:rsid w:val="003A298A"/>
    <w:rsid w:val="003A2CF2"/>
    <w:rsid w:val="003A3AE3"/>
    <w:rsid w:val="003A3F9A"/>
    <w:rsid w:val="003A5288"/>
    <w:rsid w:val="003A553B"/>
    <w:rsid w:val="003A566A"/>
    <w:rsid w:val="003A5F41"/>
    <w:rsid w:val="003B1EC9"/>
    <w:rsid w:val="003B2F05"/>
    <w:rsid w:val="003B5456"/>
    <w:rsid w:val="003C2392"/>
    <w:rsid w:val="003C2E75"/>
    <w:rsid w:val="003C3250"/>
    <w:rsid w:val="003C7FBF"/>
    <w:rsid w:val="003E02B9"/>
    <w:rsid w:val="003E1304"/>
    <w:rsid w:val="003E35D4"/>
    <w:rsid w:val="003E7121"/>
    <w:rsid w:val="003F0731"/>
    <w:rsid w:val="003F33B4"/>
    <w:rsid w:val="004011AC"/>
    <w:rsid w:val="00402399"/>
    <w:rsid w:val="004043B6"/>
    <w:rsid w:val="00405F6D"/>
    <w:rsid w:val="004131D6"/>
    <w:rsid w:val="00424124"/>
    <w:rsid w:val="00431089"/>
    <w:rsid w:val="00434212"/>
    <w:rsid w:val="00440F6E"/>
    <w:rsid w:val="00443645"/>
    <w:rsid w:val="00443CD6"/>
    <w:rsid w:val="00444672"/>
    <w:rsid w:val="004552C9"/>
    <w:rsid w:val="004607AC"/>
    <w:rsid w:val="0046127E"/>
    <w:rsid w:val="00464389"/>
    <w:rsid w:val="00466E46"/>
    <w:rsid w:val="004678E1"/>
    <w:rsid w:val="00467BD4"/>
    <w:rsid w:val="004709B7"/>
    <w:rsid w:val="00473281"/>
    <w:rsid w:val="00473B68"/>
    <w:rsid w:val="00476836"/>
    <w:rsid w:val="00477F9F"/>
    <w:rsid w:val="0048301B"/>
    <w:rsid w:val="00484D2A"/>
    <w:rsid w:val="00491BD6"/>
    <w:rsid w:val="00494D73"/>
    <w:rsid w:val="004A5828"/>
    <w:rsid w:val="004A5ABE"/>
    <w:rsid w:val="004A6424"/>
    <w:rsid w:val="004A69D0"/>
    <w:rsid w:val="004A6A82"/>
    <w:rsid w:val="004A7002"/>
    <w:rsid w:val="004A720A"/>
    <w:rsid w:val="004B15DB"/>
    <w:rsid w:val="004B19E9"/>
    <w:rsid w:val="004B6AA8"/>
    <w:rsid w:val="004B6E00"/>
    <w:rsid w:val="004C130E"/>
    <w:rsid w:val="004C186B"/>
    <w:rsid w:val="004C38DD"/>
    <w:rsid w:val="004C3F2E"/>
    <w:rsid w:val="004C4856"/>
    <w:rsid w:val="004C55EE"/>
    <w:rsid w:val="004C6DC3"/>
    <w:rsid w:val="004C6ED8"/>
    <w:rsid w:val="004C7784"/>
    <w:rsid w:val="004D453B"/>
    <w:rsid w:val="004D780D"/>
    <w:rsid w:val="004D7CF8"/>
    <w:rsid w:val="004E16A5"/>
    <w:rsid w:val="004E6BC0"/>
    <w:rsid w:val="004E6D3B"/>
    <w:rsid w:val="004E748E"/>
    <w:rsid w:val="005007E9"/>
    <w:rsid w:val="00501BE0"/>
    <w:rsid w:val="00504C05"/>
    <w:rsid w:val="00504E5F"/>
    <w:rsid w:val="005055A6"/>
    <w:rsid w:val="00507060"/>
    <w:rsid w:val="0051179B"/>
    <w:rsid w:val="00511874"/>
    <w:rsid w:val="00512838"/>
    <w:rsid w:val="005131F9"/>
    <w:rsid w:val="0051424F"/>
    <w:rsid w:val="00523623"/>
    <w:rsid w:val="005249A6"/>
    <w:rsid w:val="005262C1"/>
    <w:rsid w:val="005264EA"/>
    <w:rsid w:val="00526A61"/>
    <w:rsid w:val="005300F0"/>
    <w:rsid w:val="00531213"/>
    <w:rsid w:val="005363F5"/>
    <w:rsid w:val="005373B7"/>
    <w:rsid w:val="00541819"/>
    <w:rsid w:val="0054560C"/>
    <w:rsid w:val="00545D5A"/>
    <w:rsid w:val="00545FD3"/>
    <w:rsid w:val="005508F9"/>
    <w:rsid w:val="0055464C"/>
    <w:rsid w:val="0056238B"/>
    <w:rsid w:val="00562645"/>
    <w:rsid w:val="00563B35"/>
    <w:rsid w:val="00565BDB"/>
    <w:rsid w:val="005665F6"/>
    <w:rsid w:val="005666A4"/>
    <w:rsid w:val="0057145F"/>
    <w:rsid w:val="005749E1"/>
    <w:rsid w:val="00575859"/>
    <w:rsid w:val="005758E7"/>
    <w:rsid w:val="005778C8"/>
    <w:rsid w:val="005802BD"/>
    <w:rsid w:val="0058120D"/>
    <w:rsid w:val="00582346"/>
    <w:rsid w:val="0058252D"/>
    <w:rsid w:val="005847B4"/>
    <w:rsid w:val="0058506A"/>
    <w:rsid w:val="00591190"/>
    <w:rsid w:val="00591208"/>
    <w:rsid w:val="0059771F"/>
    <w:rsid w:val="005A0577"/>
    <w:rsid w:val="005A18B4"/>
    <w:rsid w:val="005A60B4"/>
    <w:rsid w:val="005B47BD"/>
    <w:rsid w:val="005B69C2"/>
    <w:rsid w:val="005B6FA6"/>
    <w:rsid w:val="005C55D3"/>
    <w:rsid w:val="005D2C51"/>
    <w:rsid w:val="005D4F9E"/>
    <w:rsid w:val="005E5DCB"/>
    <w:rsid w:val="005E6EBD"/>
    <w:rsid w:val="005F21BF"/>
    <w:rsid w:val="005F3A08"/>
    <w:rsid w:val="005F613D"/>
    <w:rsid w:val="005F705D"/>
    <w:rsid w:val="00600F57"/>
    <w:rsid w:val="00603015"/>
    <w:rsid w:val="00604F3E"/>
    <w:rsid w:val="0060603E"/>
    <w:rsid w:val="00613926"/>
    <w:rsid w:val="00621955"/>
    <w:rsid w:val="00632789"/>
    <w:rsid w:val="00633934"/>
    <w:rsid w:val="00634707"/>
    <w:rsid w:val="00636F9E"/>
    <w:rsid w:val="006439F2"/>
    <w:rsid w:val="00644034"/>
    <w:rsid w:val="0064540A"/>
    <w:rsid w:val="006477B7"/>
    <w:rsid w:val="00652AC8"/>
    <w:rsid w:val="0065437E"/>
    <w:rsid w:val="0066013A"/>
    <w:rsid w:val="0066157D"/>
    <w:rsid w:val="00665936"/>
    <w:rsid w:val="006703A8"/>
    <w:rsid w:val="0067125A"/>
    <w:rsid w:val="00671898"/>
    <w:rsid w:val="00671E30"/>
    <w:rsid w:val="006756FB"/>
    <w:rsid w:val="00677BD0"/>
    <w:rsid w:val="00685B82"/>
    <w:rsid w:val="00685E11"/>
    <w:rsid w:val="0069705B"/>
    <w:rsid w:val="006A0EDC"/>
    <w:rsid w:val="006A18DB"/>
    <w:rsid w:val="006A1FFE"/>
    <w:rsid w:val="006A2D2E"/>
    <w:rsid w:val="006A48D3"/>
    <w:rsid w:val="006A63AC"/>
    <w:rsid w:val="006A685D"/>
    <w:rsid w:val="006A7067"/>
    <w:rsid w:val="006B05EC"/>
    <w:rsid w:val="006B67B9"/>
    <w:rsid w:val="006B6C31"/>
    <w:rsid w:val="006C0BAC"/>
    <w:rsid w:val="006C452E"/>
    <w:rsid w:val="006C4958"/>
    <w:rsid w:val="006C6199"/>
    <w:rsid w:val="006C6366"/>
    <w:rsid w:val="006C7692"/>
    <w:rsid w:val="006D2F17"/>
    <w:rsid w:val="006D4856"/>
    <w:rsid w:val="006D6ABC"/>
    <w:rsid w:val="006E790B"/>
    <w:rsid w:val="006F055C"/>
    <w:rsid w:val="006F09F0"/>
    <w:rsid w:val="006F3E32"/>
    <w:rsid w:val="006F52D9"/>
    <w:rsid w:val="006F73F7"/>
    <w:rsid w:val="00702C40"/>
    <w:rsid w:val="00706685"/>
    <w:rsid w:val="00707438"/>
    <w:rsid w:val="00707D20"/>
    <w:rsid w:val="00710F58"/>
    <w:rsid w:val="0071107A"/>
    <w:rsid w:val="00713175"/>
    <w:rsid w:val="00713382"/>
    <w:rsid w:val="00714B77"/>
    <w:rsid w:val="00714CA5"/>
    <w:rsid w:val="00721AD7"/>
    <w:rsid w:val="007225EF"/>
    <w:rsid w:val="00722BA6"/>
    <w:rsid w:val="00723DC5"/>
    <w:rsid w:val="00725C40"/>
    <w:rsid w:val="00726B84"/>
    <w:rsid w:val="00727595"/>
    <w:rsid w:val="00727952"/>
    <w:rsid w:val="007316AF"/>
    <w:rsid w:val="00733066"/>
    <w:rsid w:val="007338D6"/>
    <w:rsid w:val="00733EB9"/>
    <w:rsid w:val="00736776"/>
    <w:rsid w:val="00740B36"/>
    <w:rsid w:val="007416A2"/>
    <w:rsid w:val="00745452"/>
    <w:rsid w:val="00747A6F"/>
    <w:rsid w:val="00751FFA"/>
    <w:rsid w:val="0075276E"/>
    <w:rsid w:val="00753642"/>
    <w:rsid w:val="0075622F"/>
    <w:rsid w:val="0075669D"/>
    <w:rsid w:val="00757EA9"/>
    <w:rsid w:val="0076067D"/>
    <w:rsid w:val="00773844"/>
    <w:rsid w:val="00773B29"/>
    <w:rsid w:val="00774C20"/>
    <w:rsid w:val="00782CDC"/>
    <w:rsid w:val="007839F9"/>
    <w:rsid w:val="00784079"/>
    <w:rsid w:val="00784132"/>
    <w:rsid w:val="00786229"/>
    <w:rsid w:val="0078708D"/>
    <w:rsid w:val="00787145"/>
    <w:rsid w:val="00791D57"/>
    <w:rsid w:val="00792E6F"/>
    <w:rsid w:val="007A0744"/>
    <w:rsid w:val="007A2765"/>
    <w:rsid w:val="007A65F1"/>
    <w:rsid w:val="007B13E5"/>
    <w:rsid w:val="007B2F6B"/>
    <w:rsid w:val="007B473A"/>
    <w:rsid w:val="007B4E79"/>
    <w:rsid w:val="007B6F7C"/>
    <w:rsid w:val="007C2993"/>
    <w:rsid w:val="007C4B85"/>
    <w:rsid w:val="007C6338"/>
    <w:rsid w:val="007C7CF2"/>
    <w:rsid w:val="007D0BB2"/>
    <w:rsid w:val="007D2C48"/>
    <w:rsid w:val="007E0AED"/>
    <w:rsid w:val="007E26FA"/>
    <w:rsid w:val="007E3546"/>
    <w:rsid w:val="007E52F3"/>
    <w:rsid w:val="007E546F"/>
    <w:rsid w:val="007F0AF3"/>
    <w:rsid w:val="007F1928"/>
    <w:rsid w:val="007F392E"/>
    <w:rsid w:val="00800F70"/>
    <w:rsid w:val="00802F47"/>
    <w:rsid w:val="00811A1B"/>
    <w:rsid w:val="00811FCD"/>
    <w:rsid w:val="00814815"/>
    <w:rsid w:val="00824DED"/>
    <w:rsid w:val="00826E5A"/>
    <w:rsid w:val="0083713D"/>
    <w:rsid w:val="00840540"/>
    <w:rsid w:val="00842F2C"/>
    <w:rsid w:val="008437B2"/>
    <w:rsid w:val="00843F1C"/>
    <w:rsid w:val="00850DCE"/>
    <w:rsid w:val="00853591"/>
    <w:rsid w:val="0085465A"/>
    <w:rsid w:val="00854FBB"/>
    <w:rsid w:val="0086373E"/>
    <w:rsid w:val="008661BA"/>
    <w:rsid w:val="008671A6"/>
    <w:rsid w:val="00870F0D"/>
    <w:rsid w:val="00871024"/>
    <w:rsid w:val="0087144B"/>
    <w:rsid w:val="00871CA8"/>
    <w:rsid w:val="00872D80"/>
    <w:rsid w:val="00872E80"/>
    <w:rsid w:val="008747AA"/>
    <w:rsid w:val="0087543D"/>
    <w:rsid w:val="00876446"/>
    <w:rsid w:val="00882DEE"/>
    <w:rsid w:val="00885004"/>
    <w:rsid w:val="00886940"/>
    <w:rsid w:val="00886B7B"/>
    <w:rsid w:val="00887AB4"/>
    <w:rsid w:val="00894290"/>
    <w:rsid w:val="008A25A1"/>
    <w:rsid w:val="008A3ABF"/>
    <w:rsid w:val="008A4A8B"/>
    <w:rsid w:val="008B39B6"/>
    <w:rsid w:val="008C1AFD"/>
    <w:rsid w:val="008C4B67"/>
    <w:rsid w:val="008C7F60"/>
    <w:rsid w:val="008D1AEF"/>
    <w:rsid w:val="008E4509"/>
    <w:rsid w:val="008E48C2"/>
    <w:rsid w:val="008F0D8C"/>
    <w:rsid w:val="008F1BD1"/>
    <w:rsid w:val="008F2160"/>
    <w:rsid w:val="00901B67"/>
    <w:rsid w:val="00905E86"/>
    <w:rsid w:val="009124E4"/>
    <w:rsid w:val="009159CC"/>
    <w:rsid w:val="00917D0F"/>
    <w:rsid w:val="0092035A"/>
    <w:rsid w:val="009235BA"/>
    <w:rsid w:val="00924EA9"/>
    <w:rsid w:val="00925FA2"/>
    <w:rsid w:val="00926A9C"/>
    <w:rsid w:val="00927803"/>
    <w:rsid w:val="00931339"/>
    <w:rsid w:val="00933AFB"/>
    <w:rsid w:val="00940101"/>
    <w:rsid w:val="00940827"/>
    <w:rsid w:val="00940DAB"/>
    <w:rsid w:val="00940DDC"/>
    <w:rsid w:val="00941829"/>
    <w:rsid w:val="009445D2"/>
    <w:rsid w:val="009453B3"/>
    <w:rsid w:val="00954A35"/>
    <w:rsid w:val="009550DA"/>
    <w:rsid w:val="00957172"/>
    <w:rsid w:val="00957CD1"/>
    <w:rsid w:val="00960654"/>
    <w:rsid w:val="00961DB2"/>
    <w:rsid w:val="0097292F"/>
    <w:rsid w:val="009741D9"/>
    <w:rsid w:val="00974F3E"/>
    <w:rsid w:val="009750CC"/>
    <w:rsid w:val="00980746"/>
    <w:rsid w:val="00982CA4"/>
    <w:rsid w:val="00984235"/>
    <w:rsid w:val="00992432"/>
    <w:rsid w:val="00993D92"/>
    <w:rsid w:val="00995D90"/>
    <w:rsid w:val="009967BA"/>
    <w:rsid w:val="00997E4E"/>
    <w:rsid w:val="009A4D63"/>
    <w:rsid w:val="009A54FC"/>
    <w:rsid w:val="009B08C5"/>
    <w:rsid w:val="009B15BF"/>
    <w:rsid w:val="009B52C0"/>
    <w:rsid w:val="009B75E8"/>
    <w:rsid w:val="009C2167"/>
    <w:rsid w:val="009C21C2"/>
    <w:rsid w:val="009C4F8A"/>
    <w:rsid w:val="009D46C1"/>
    <w:rsid w:val="009D7145"/>
    <w:rsid w:val="009D7A0D"/>
    <w:rsid w:val="009E0D02"/>
    <w:rsid w:val="009E4418"/>
    <w:rsid w:val="009E5838"/>
    <w:rsid w:val="00A0235E"/>
    <w:rsid w:val="00A02A54"/>
    <w:rsid w:val="00A04526"/>
    <w:rsid w:val="00A11704"/>
    <w:rsid w:val="00A11840"/>
    <w:rsid w:val="00A12BE1"/>
    <w:rsid w:val="00A14282"/>
    <w:rsid w:val="00A16904"/>
    <w:rsid w:val="00A21D13"/>
    <w:rsid w:val="00A22671"/>
    <w:rsid w:val="00A22C61"/>
    <w:rsid w:val="00A262E4"/>
    <w:rsid w:val="00A26EC3"/>
    <w:rsid w:val="00A300E0"/>
    <w:rsid w:val="00A3158B"/>
    <w:rsid w:val="00A34F57"/>
    <w:rsid w:val="00A359C7"/>
    <w:rsid w:val="00A360BE"/>
    <w:rsid w:val="00A41CF3"/>
    <w:rsid w:val="00A44DA4"/>
    <w:rsid w:val="00A456B1"/>
    <w:rsid w:val="00A4674D"/>
    <w:rsid w:val="00A547CE"/>
    <w:rsid w:val="00A55FF3"/>
    <w:rsid w:val="00A603CE"/>
    <w:rsid w:val="00A605F1"/>
    <w:rsid w:val="00A61CB6"/>
    <w:rsid w:val="00A64CF7"/>
    <w:rsid w:val="00A672BA"/>
    <w:rsid w:val="00A7287B"/>
    <w:rsid w:val="00A72B33"/>
    <w:rsid w:val="00A821EA"/>
    <w:rsid w:val="00A8721E"/>
    <w:rsid w:val="00A92495"/>
    <w:rsid w:val="00A92669"/>
    <w:rsid w:val="00A97790"/>
    <w:rsid w:val="00AA12B3"/>
    <w:rsid w:val="00AA2AE1"/>
    <w:rsid w:val="00AA5160"/>
    <w:rsid w:val="00AA5899"/>
    <w:rsid w:val="00AB0589"/>
    <w:rsid w:val="00AB75A3"/>
    <w:rsid w:val="00AB7DFF"/>
    <w:rsid w:val="00AB7FC6"/>
    <w:rsid w:val="00AC05AE"/>
    <w:rsid w:val="00AD0F30"/>
    <w:rsid w:val="00AD115D"/>
    <w:rsid w:val="00AD16AE"/>
    <w:rsid w:val="00AD6C53"/>
    <w:rsid w:val="00AD7A71"/>
    <w:rsid w:val="00AE2672"/>
    <w:rsid w:val="00AE72F4"/>
    <w:rsid w:val="00AE7B02"/>
    <w:rsid w:val="00AE7CA4"/>
    <w:rsid w:val="00AF0A4B"/>
    <w:rsid w:val="00AF3BF2"/>
    <w:rsid w:val="00AF4BBC"/>
    <w:rsid w:val="00AF5875"/>
    <w:rsid w:val="00AF6428"/>
    <w:rsid w:val="00AF65DE"/>
    <w:rsid w:val="00AF733C"/>
    <w:rsid w:val="00AF7486"/>
    <w:rsid w:val="00AF755C"/>
    <w:rsid w:val="00AF7EE6"/>
    <w:rsid w:val="00B00828"/>
    <w:rsid w:val="00B01529"/>
    <w:rsid w:val="00B04278"/>
    <w:rsid w:val="00B12672"/>
    <w:rsid w:val="00B17406"/>
    <w:rsid w:val="00B21299"/>
    <w:rsid w:val="00B2434D"/>
    <w:rsid w:val="00B24D29"/>
    <w:rsid w:val="00B32216"/>
    <w:rsid w:val="00B3454C"/>
    <w:rsid w:val="00B34716"/>
    <w:rsid w:val="00B3707E"/>
    <w:rsid w:val="00B40DE1"/>
    <w:rsid w:val="00B460A0"/>
    <w:rsid w:val="00B50666"/>
    <w:rsid w:val="00B558D7"/>
    <w:rsid w:val="00B55FA2"/>
    <w:rsid w:val="00B61A13"/>
    <w:rsid w:val="00B6232D"/>
    <w:rsid w:val="00B648CA"/>
    <w:rsid w:val="00B65289"/>
    <w:rsid w:val="00B714C9"/>
    <w:rsid w:val="00B74894"/>
    <w:rsid w:val="00B749FB"/>
    <w:rsid w:val="00B75FF7"/>
    <w:rsid w:val="00B7751E"/>
    <w:rsid w:val="00B82B83"/>
    <w:rsid w:val="00B83E07"/>
    <w:rsid w:val="00B909F7"/>
    <w:rsid w:val="00B927AF"/>
    <w:rsid w:val="00B94C68"/>
    <w:rsid w:val="00B968EB"/>
    <w:rsid w:val="00B96A24"/>
    <w:rsid w:val="00B96F87"/>
    <w:rsid w:val="00B974D0"/>
    <w:rsid w:val="00BA07D0"/>
    <w:rsid w:val="00BA677D"/>
    <w:rsid w:val="00BA6FDB"/>
    <w:rsid w:val="00BB02D4"/>
    <w:rsid w:val="00BB02ED"/>
    <w:rsid w:val="00BB2BB0"/>
    <w:rsid w:val="00BB3CBF"/>
    <w:rsid w:val="00BB5132"/>
    <w:rsid w:val="00BB6E66"/>
    <w:rsid w:val="00BB7EC5"/>
    <w:rsid w:val="00BC2DFF"/>
    <w:rsid w:val="00BC31F9"/>
    <w:rsid w:val="00BC6F83"/>
    <w:rsid w:val="00BC704C"/>
    <w:rsid w:val="00BD15E1"/>
    <w:rsid w:val="00BD2886"/>
    <w:rsid w:val="00BD34B4"/>
    <w:rsid w:val="00BD43CB"/>
    <w:rsid w:val="00BD7E46"/>
    <w:rsid w:val="00BE1C54"/>
    <w:rsid w:val="00BE26B4"/>
    <w:rsid w:val="00BF0257"/>
    <w:rsid w:val="00BF2C5D"/>
    <w:rsid w:val="00BF31E3"/>
    <w:rsid w:val="00BF3C49"/>
    <w:rsid w:val="00BF5F1C"/>
    <w:rsid w:val="00C04E8A"/>
    <w:rsid w:val="00C068CE"/>
    <w:rsid w:val="00C07731"/>
    <w:rsid w:val="00C07A15"/>
    <w:rsid w:val="00C11DC0"/>
    <w:rsid w:val="00C17E83"/>
    <w:rsid w:val="00C218A9"/>
    <w:rsid w:val="00C261F4"/>
    <w:rsid w:val="00C30C6F"/>
    <w:rsid w:val="00C33C53"/>
    <w:rsid w:val="00C408C7"/>
    <w:rsid w:val="00C40BE6"/>
    <w:rsid w:val="00C47EE0"/>
    <w:rsid w:val="00C5283A"/>
    <w:rsid w:val="00C530BC"/>
    <w:rsid w:val="00C534CA"/>
    <w:rsid w:val="00C55D8F"/>
    <w:rsid w:val="00C565F1"/>
    <w:rsid w:val="00C63006"/>
    <w:rsid w:val="00C67568"/>
    <w:rsid w:val="00C7007B"/>
    <w:rsid w:val="00C71871"/>
    <w:rsid w:val="00C724F1"/>
    <w:rsid w:val="00C735F1"/>
    <w:rsid w:val="00C76531"/>
    <w:rsid w:val="00C76B62"/>
    <w:rsid w:val="00C86EC7"/>
    <w:rsid w:val="00C913B6"/>
    <w:rsid w:val="00C91C5E"/>
    <w:rsid w:val="00C92359"/>
    <w:rsid w:val="00C92E44"/>
    <w:rsid w:val="00CA6EA3"/>
    <w:rsid w:val="00CB15A7"/>
    <w:rsid w:val="00CB22CC"/>
    <w:rsid w:val="00CB6D97"/>
    <w:rsid w:val="00CC09CE"/>
    <w:rsid w:val="00CC371F"/>
    <w:rsid w:val="00CD0E88"/>
    <w:rsid w:val="00CD7B54"/>
    <w:rsid w:val="00CE0C9D"/>
    <w:rsid w:val="00CE1FF5"/>
    <w:rsid w:val="00CE7B29"/>
    <w:rsid w:val="00D10682"/>
    <w:rsid w:val="00D117FD"/>
    <w:rsid w:val="00D11ABE"/>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C24"/>
    <w:rsid w:val="00D55FAB"/>
    <w:rsid w:val="00D56786"/>
    <w:rsid w:val="00D60542"/>
    <w:rsid w:val="00D613EA"/>
    <w:rsid w:val="00D61EAB"/>
    <w:rsid w:val="00D66A30"/>
    <w:rsid w:val="00D6706B"/>
    <w:rsid w:val="00D701D3"/>
    <w:rsid w:val="00D724F9"/>
    <w:rsid w:val="00D7445F"/>
    <w:rsid w:val="00D813F8"/>
    <w:rsid w:val="00D91E8D"/>
    <w:rsid w:val="00D92B1D"/>
    <w:rsid w:val="00D93FEB"/>
    <w:rsid w:val="00D941F9"/>
    <w:rsid w:val="00DA516E"/>
    <w:rsid w:val="00DB0323"/>
    <w:rsid w:val="00DB04CF"/>
    <w:rsid w:val="00DB1FA7"/>
    <w:rsid w:val="00DB3BF6"/>
    <w:rsid w:val="00DB3BFC"/>
    <w:rsid w:val="00DC0E31"/>
    <w:rsid w:val="00DC4FEF"/>
    <w:rsid w:val="00DC5659"/>
    <w:rsid w:val="00DC70D0"/>
    <w:rsid w:val="00DC7DD6"/>
    <w:rsid w:val="00DD3421"/>
    <w:rsid w:val="00DD3971"/>
    <w:rsid w:val="00DD663E"/>
    <w:rsid w:val="00DE2A3F"/>
    <w:rsid w:val="00DF5F45"/>
    <w:rsid w:val="00E035F3"/>
    <w:rsid w:val="00E03E65"/>
    <w:rsid w:val="00E0520F"/>
    <w:rsid w:val="00E06B55"/>
    <w:rsid w:val="00E07AD0"/>
    <w:rsid w:val="00E07DCB"/>
    <w:rsid w:val="00E13146"/>
    <w:rsid w:val="00E14C1F"/>
    <w:rsid w:val="00E16C01"/>
    <w:rsid w:val="00E174FC"/>
    <w:rsid w:val="00E20070"/>
    <w:rsid w:val="00E20994"/>
    <w:rsid w:val="00E216F0"/>
    <w:rsid w:val="00E22124"/>
    <w:rsid w:val="00E24FE5"/>
    <w:rsid w:val="00E261AD"/>
    <w:rsid w:val="00E324C0"/>
    <w:rsid w:val="00E40344"/>
    <w:rsid w:val="00E40E4D"/>
    <w:rsid w:val="00E4377A"/>
    <w:rsid w:val="00E45042"/>
    <w:rsid w:val="00E46D61"/>
    <w:rsid w:val="00E54061"/>
    <w:rsid w:val="00E545F2"/>
    <w:rsid w:val="00E54CC6"/>
    <w:rsid w:val="00E56C7E"/>
    <w:rsid w:val="00E57082"/>
    <w:rsid w:val="00E576BD"/>
    <w:rsid w:val="00E57BE9"/>
    <w:rsid w:val="00E600BA"/>
    <w:rsid w:val="00E604D6"/>
    <w:rsid w:val="00E608AC"/>
    <w:rsid w:val="00E67086"/>
    <w:rsid w:val="00E70DD5"/>
    <w:rsid w:val="00E83AA8"/>
    <w:rsid w:val="00E857E4"/>
    <w:rsid w:val="00E85B05"/>
    <w:rsid w:val="00E903D7"/>
    <w:rsid w:val="00E905A5"/>
    <w:rsid w:val="00E9139D"/>
    <w:rsid w:val="00E92487"/>
    <w:rsid w:val="00E92812"/>
    <w:rsid w:val="00E92E84"/>
    <w:rsid w:val="00EA17FF"/>
    <w:rsid w:val="00EA26E5"/>
    <w:rsid w:val="00EA3B02"/>
    <w:rsid w:val="00EA524D"/>
    <w:rsid w:val="00EA5A59"/>
    <w:rsid w:val="00EA5BBD"/>
    <w:rsid w:val="00EA6213"/>
    <w:rsid w:val="00EB055B"/>
    <w:rsid w:val="00EB0C39"/>
    <w:rsid w:val="00EB3301"/>
    <w:rsid w:val="00EB34F1"/>
    <w:rsid w:val="00EB53F6"/>
    <w:rsid w:val="00EB588F"/>
    <w:rsid w:val="00EC04FF"/>
    <w:rsid w:val="00ED0B05"/>
    <w:rsid w:val="00ED6624"/>
    <w:rsid w:val="00EE2068"/>
    <w:rsid w:val="00EE4A18"/>
    <w:rsid w:val="00EF1F69"/>
    <w:rsid w:val="00EF61D1"/>
    <w:rsid w:val="00F01ECB"/>
    <w:rsid w:val="00F05333"/>
    <w:rsid w:val="00F07649"/>
    <w:rsid w:val="00F1311C"/>
    <w:rsid w:val="00F13A40"/>
    <w:rsid w:val="00F154D0"/>
    <w:rsid w:val="00F164FA"/>
    <w:rsid w:val="00F20DFF"/>
    <w:rsid w:val="00F22E8D"/>
    <w:rsid w:val="00F246F5"/>
    <w:rsid w:val="00F261D6"/>
    <w:rsid w:val="00F26D45"/>
    <w:rsid w:val="00F27804"/>
    <w:rsid w:val="00F30C84"/>
    <w:rsid w:val="00F3161F"/>
    <w:rsid w:val="00F35704"/>
    <w:rsid w:val="00F35911"/>
    <w:rsid w:val="00F35DD7"/>
    <w:rsid w:val="00F42D43"/>
    <w:rsid w:val="00F463C9"/>
    <w:rsid w:val="00F4651F"/>
    <w:rsid w:val="00F53ECE"/>
    <w:rsid w:val="00F57965"/>
    <w:rsid w:val="00F62702"/>
    <w:rsid w:val="00F62C88"/>
    <w:rsid w:val="00F71810"/>
    <w:rsid w:val="00F72ABE"/>
    <w:rsid w:val="00F72B1B"/>
    <w:rsid w:val="00F73816"/>
    <w:rsid w:val="00F73933"/>
    <w:rsid w:val="00F74796"/>
    <w:rsid w:val="00F752E4"/>
    <w:rsid w:val="00F7596C"/>
    <w:rsid w:val="00F75F2B"/>
    <w:rsid w:val="00F76733"/>
    <w:rsid w:val="00F76A86"/>
    <w:rsid w:val="00F77BD6"/>
    <w:rsid w:val="00F77E12"/>
    <w:rsid w:val="00F8020B"/>
    <w:rsid w:val="00F814DE"/>
    <w:rsid w:val="00F82906"/>
    <w:rsid w:val="00F86EE6"/>
    <w:rsid w:val="00F90045"/>
    <w:rsid w:val="00F925FE"/>
    <w:rsid w:val="00F959A1"/>
    <w:rsid w:val="00F97F79"/>
    <w:rsid w:val="00FA0472"/>
    <w:rsid w:val="00FA2700"/>
    <w:rsid w:val="00FA28D1"/>
    <w:rsid w:val="00FA6558"/>
    <w:rsid w:val="00FB2665"/>
    <w:rsid w:val="00FB4A6D"/>
    <w:rsid w:val="00FC16C1"/>
    <w:rsid w:val="00FC3DE0"/>
    <w:rsid w:val="00FC56D8"/>
    <w:rsid w:val="00FC61FD"/>
    <w:rsid w:val="00FD09FC"/>
    <w:rsid w:val="00FD2C8C"/>
    <w:rsid w:val="00FD3BDF"/>
    <w:rsid w:val="00FD489B"/>
    <w:rsid w:val="00FD530D"/>
    <w:rsid w:val="00FD6F1A"/>
    <w:rsid w:val="00FD791D"/>
    <w:rsid w:val="00FE0217"/>
    <w:rsid w:val="00FE233E"/>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B68FA"/>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nhideWhenUsed/>
    <w:rsid w:val="00AD115D"/>
    <w:pPr>
      <w:tabs>
        <w:tab w:val="center" w:pos="4680"/>
        <w:tab w:val="right" w:pos="9360"/>
      </w:tabs>
      <w:spacing w:before="0" w:after="0"/>
    </w:pPr>
  </w:style>
  <w:style w:type="character" w:customStyle="1" w:styleId="HeaderChar">
    <w:name w:val="Header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overflowPunct w:val="0"/>
      <w:autoSpaceDE w:val="0"/>
      <w:autoSpaceDN w:val="0"/>
      <w:adjustRightInd w:val="0"/>
      <w:spacing w:after="180"/>
      <w:jc w:val="left"/>
      <w:textAlignment w:val="baseline"/>
    </w:pPr>
    <w:rPr>
      <w:b/>
      <w:lang w:val="en-GB" w:eastAsia="ja-JP"/>
    </w:rPr>
  </w:style>
  <w:style w:type="paragraph" w:customStyle="1" w:styleId="TH">
    <w:name w:val="TH"/>
    <w:basedOn w:val="Normal"/>
    <w:rsid w:val="00562645"/>
    <w:pPr>
      <w:keepNext/>
      <w:keepLines/>
      <w:overflowPunct w:val="0"/>
      <w:autoSpaceDE w:val="0"/>
      <w:autoSpaceDN w:val="0"/>
      <w:adjustRightInd w:val="0"/>
      <w:spacing w:after="180"/>
      <w:jc w:val="center"/>
      <w:textAlignment w:val="baseline"/>
    </w:pPr>
    <w:rPr>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403379467">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34309297">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05665732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3D12E-7B4F-47B4-A57B-432453A2B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3</Pages>
  <Words>1163</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7778</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dc:creator>
  <cp:keywords/>
  <cp:lastModifiedBy>Milap Majmundar (AT&amp;T)</cp:lastModifiedBy>
  <cp:revision>43</cp:revision>
  <cp:lastPrinted>2018-09-28T20:14:00Z</cp:lastPrinted>
  <dcterms:created xsi:type="dcterms:W3CDTF">2021-01-12T20:11:00Z</dcterms:created>
  <dcterms:modified xsi:type="dcterms:W3CDTF">2021-01-15T04:52:00Z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